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A20A4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_GB2312" w:hAnsi="楷体_GB2312" w:eastAsia="楷体_GB2312" w:cs="楷体_GB2312"/>
          <w:b/>
          <w:color w:val="auto"/>
          <w:sz w:val="36"/>
          <w:szCs w:val="36"/>
          <w:highlight w:val="none"/>
          <w:lang w:val="en-US" w:eastAsia="zh-CN"/>
        </w:rPr>
      </w:pPr>
      <w:r>
        <w:rPr>
          <w:rFonts w:hint="eastAsia" w:ascii="楷体_GB2312" w:hAnsi="楷体_GB2312" w:eastAsia="楷体_GB2312" w:cs="楷体_GB2312"/>
          <w:b/>
          <w:color w:val="auto"/>
          <w:sz w:val="36"/>
          <w:szCs w:val="36"/>
          <w:highlight w:val="none"/>
          <w:lang w:val="en-US" w:eastAsia="zh-CN"/>
        </w:rPr>
        <w:t>高青至武城高速商河至平原段工程</w:t>
      </w:r>
    </w:p>
    <w:p w14:paraId="7D2CE7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b/>
          <w:color w:val="auto"/>
          <w:sz w:val="36"/>
          <w:szCs w:val="36"/>
          <w:highlight w:val="none"/>
          <w:lang w:val="en-US" w:eastAsia="zh-CN"/>
        </w:rPr>
      </w:pPr>
      <w:r>
        <w:rPr>
          <w:rFonts w:hint="eastAsia" w:ascii="楷体_GB2312" w:hAnsi="楷体_GB2312" w:eastAsia="楷体_GB2312" w:cs="楷体_GB2312"/>
          <w:b/>
          <w:color w:val="auto"/>
          <w:sz w:val="36"/>
          <w:szCs w:val="36"/>
          <w:highlight w:val="none"/>
          <w:lang w:val="en-US" w:eastAsia="zh-CN"/>
        </w:rPr>
        <w:t>柴油采购项目谈判公告</w:t>
      </w:r>
    </w:p>
    <w:p w14:paraId="04130CD0">
      <w:pPr>
        <w:spacing w:before="74" w:line="224" w:lineRule="auto"/>
        <w:rPr>
          <w:rFonts w:ascii="楷体" w:hAnsi="楷体" w:eastAsia="楷体" w:cs="楷体"/>
          <w:color w:val="auto"/>
          <w:spacing w:val="-16"/>
          <w:sz w:val="29"/>
          <w:szCs w:val="29"/>
          <w:highlight w:val="none"/>
        </w:rPr>
      </w:pPr>
    </w:p>
    <w:p w14:paraId="0CAFE345">
      <w:pPr>
        <w:autoSpaceDE w:val="0"/>
        <w:autoSpaceDN w:val="0"/>
        <w:adjustRightInd w:val="0"/>
        <w:spacing w:line="460" w:lineRule="exact"/>
        <w:ind w:firstLine="562" w:firstLineChars="200"/>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一、项目概况与询价范围</w:t>
      </w:r>
    </w:p>
    <w:p w14:paraId="18949C34">
      <w:pPr>
        <w:autoSpaceDE w:val="0"/>
        <w:autoSpaceDN w:val="0"/>
        <w:spacing w:line="460" w:lineRule="exact"/>
        <w:ind w:firstLine="560" w:firstLineChars="200"/>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color w:val="auto"/>
          <w:kern w:val="0"/>
          <w:sz w:val="28"/>
          <w:szCs w:val="28"/>
          <w:highlight w:val="none"/>
          <w:lang w:val="en-US" w:eastAsia="zh-CN"/>
        </w:rPr>
        <w:t>1、项目概况：</w:t>
      </w:r>
      <w:r>
        <w:rPr>
          <w:rFonts w:hint="eastAsia" w:ascii="楷体_GB2312" w:hAnsi="楷体_GB2312" w:eastAsia="楷体_GB2312" w:cs="楷体_GB2312"/>
          <w:sz w:val="28"/>
          <w:szCs w:val="28"/>
          <w:lang w:val="en-US" w:eastAsia="zh-CN"/>
        </w:rPr>
        <w:t>高青至武城高速公路商河至平原段位于济南市商河县张坊镇孔家村东南、京沪高速（养护桩号K317+330）上，路线全长57.267Km。</w:t>
      </w:r>
    </w:p>
    <w:p w14:paraId="44E272C8">
      <w:pPr>
        <w:autoSpaceDE w:val="0"/>
        <w:autoSpaceDN w:val="0"/>
        <w:spacing w:line="460" w:lineRule="exact"/>
        <w:ind w:firstLine="560" w:firstLineChars="200"/>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2、谈判范围：高青至武城高速商河至平原段工程柴油采购项目</w:t>
      </w:r>
    </w:p>
    <w:p w14:paraId="7FED3258">
      <w:pPr>
        <w:autoSpaceDE w:val="0"/>
        <w:autoSpaceDN w:val="0"/>
        <w:spacing w:line="460" w:lineRule="exact"/>
        <w:ind w:firstLine="560" w:firstLineChars="200"/>
        <w:rPr>
          <w:rFonts w:hint="eastAsia"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3、项目编号： DZSZZC-20250031 招标编号：</w:t>
      </w:r>
      <w:r>
        <w:rPr>
          <w:rFonts w:hint="eastAsia" w:ascii="楷体_GB2312" w:hAnsi="楷体_GB2312" w:eastAsia="楷体_GB2312" w:cs="楷体_GB2312"/>
          <w:sz w:val="28"/>
          <w:szCs w:val="28"/>
          <w:highlight w:val="none"/>
          <w:lang w:val="en-US" w:eastAsia="zh-CN"/>
        </w:rPr>
        <w:t>DDJJ-WZ-2025006</w:t>
      </w:r>
    </w:p>
    <w:p w14:paraId="78F879FD">
      <w:pPr>
        <w:autoSpaceDE w:val="0"/>
        <w:autoSpaceDN w:val="0"/>
        <w:spacing w:line="460" w:lineRule="exact"/>
        <w:ind w:firstLine="560" w:firstLineChars="200"/>
        <w:rPr>
          <w:rFonts w:hint="default"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4、谈判方式：现场报价（首轮、二轮）</w:t>
      </w:r>
    </w:p>
    <w:p w14:paraId="7833A43E">
      <w:pPr>
        <w:autoSpaceDE w:val="0"/>
        <w:autoSpaceDN w:val="0"/>
        <w:adjustRightInd w:val="0"/>
        <w:spacing w:line="460" w:lineRule="exact"/>
        <w:ind w:firstLine="562" w:firstLineChars="200"/>
        <w:rPr>
          <w:rFonts w:hint="eastAsia" w:ascii="楷体_GB2312" w:hAnsi="楷体_GB2312" w:eastAsia="楷体_GB2312" w:cs="楷体_GB2312"/>
          <w:color w:val="auto"/>
          <w:sz w:val="28"/>
          <w:szCs w:val="28"/>
          <w:highlight w:val="none"/>
          <w:lang w:val="zh-CN"/>
        </w:rPr>
      </w:pPr>
      <w:r>
        <w:rPr>
          <w:rFonts w:hint="eastAsia" w:ascii="楷体_GB2312" w:hAnsi="楷体_GB2312" w:eastAsia="楷体_GB2312" w:cs="楷体_GB2312"/>
          <w:b/>
          <w:bCs/>
          <w:color w:val="auto"/>
          <w:sz w:val="28"/>
          <w:szCs w:val="28"/>
          <w:highlight w:val="none"/>
          <w:lang w:val="zh-CN"/>
        </w:rPr>
        <w:t>二、资格要求</w:t>
      </w:r>
      <w:r>
        <w:rPr>
          <w:rFonts w:hint="eastAsia" w:ascii="楷体_GB2312" w:hAnsi="楷体_GB2312" w:eastAsia="楷体_GB2312" w:cs="楷体_GB2312"/>
          <w:color w:val="auto"/>
          <w:sz w:val="28"/>
          <w:szCs w:val="28"/>
          <w:highlight w:val="none"/>
          <w:lang w:val="zh-CN"/>
        </w:rPr>
        <w:t>：</w:t>
      </w:r>
    </w:p>
    <w:p w14:paraId="7C5A0145">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firstLineChars="200"/>
        <w:textAlignment w:val="baseline"/>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lang w:val="zh-CN"/>
        </w:rPr>
        <w:t>1、</w:t>
      </w:r>
      <w:r>
        <w:rPr>
          <w:rFonts w:hint="eastAsia" w:ascii="楷体_GB2312" w:hAnsi="楷体_GB2312" w:eastAsia="楷体_GB2312" w:cs="楷体_GB2312"/>
          <w:color w:val="auto"/>
          <w:sz w:val="28"/>
          <w:szCs w:val="28"/>
          <w:lang w:val="en-US" w:eastAsia="zh-CN"/>
        </w:rPr>
        <w:t>投标人应符合《中华人民共和国招标投标法》及《中华人民共和国招标投标法实施条例》的规定，在中国境内注册，营业执照合法有效，在中华人民共和国境内从事成品油批发、仓储及零售经营活动的企业。</w:t>
      </w:r>
    </w:p>
    <w:p w14:paraId="6662EF9F">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firstLineChars="200"/>
        <w:textAlignment w:val="baseline"/>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lang w:val="en-US" w:eastAsia="zh-CN"/>
        </w:rPr>
        <w:t>2、</w:t>
      </w:r>
      <w:r>
        <w:rPr>
          <w:rFonts w:hint="eastAsia" w:ascii="楷体_GB2312" w:hAnsi="楷体_GB2312" w:eastAsia="楷体_GB2312" w:cs="楷体_GB2312"/>
          <w:color w:val="auto"/>
          <w:sz w:val="28"/>
          <w:szCs w:val="28"/>
          <w:lang w:val="zh-CN"/>
        </w:rPr>
        <w:t>投标人须具有成品油经营许可证或危险化学品经营许可证，具备成品油检验、计量、储存等专业技术人员，在人员、设备、资金等方面具备完成本项目实施</w:t>
      </w:r>
      <w:r>
        <w:rPr>
          <w:rFonts w:hint="eastAsia" w:ascii="楷体_GB2312" w:hAnsi="楷体_GB2312" w:eastAsia="楷体_GB2312" w:cs="楷体_GB2312"/>
          <w:color w:val="auto"/>
          <w:sz w:val="28"/>
          <w:szCs w:val="28"/>
        </w:rPr>
        <w:t>供货能力的企业。</w:t>
      </w:r>
    </w:p>
    <w:p w14:paraId="0060BE66">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40"/>
        <w:jc w:val="left"/>
        <w:textAlignment w:val="baseline"/>
        <w:rPr>
          <w:rFonts w:hint="eastAsia" w:ascii="楷体_GB2312" w:hAnsi="楷体_GB2312" w:eastAsia="楷体_GB2312" w:cs="楷体_GB2312"/>
          <w:color w:val="auto"/>
          <w:sz w:val="28"/>
          <w:szCs w:val="28"/>
          <w:lang w:eastAsia="zh-CN"/>
        </w:rPr>
      </w:pPr>
      <w:r>
        <w:rPr>
          <w:rFonts w:hint="eastAsia" w:ascii="楷体_GB2312" w:hAnsi="楷体_GB2312" w:eastAsia="楷体_GB2312" w:cs="楷体_GB2312"/>
          <w:color w:val="auto"/>
          <w:sz w:val="28"/>
          <w:szCs w:val="28"/>
          <w:lang w:val="en-US" w:eastAsia="zh-CN"/>
        </w:rPr>
        <w:t>3</w:t>
      </w:r>
      <w:r>
        <w:rPr>
          <w:rFonts w:hint="eastAsia" w:ascii="楷体_GB2312" w:hAnsi="楷体_GB2312" w:eastAsia="楷体_GB2312" w:cs="楷体_GB2312"/>
          <w:color w:val="auto"/>
          <w:sz w:val="28"/>
          <w:szCs w:val="28"/>
        </w:rPr>
        <w:t>、投标人须提供营业执照，</w:t>
      </w:r>
      <w:r>
        <w:rPr>
          <w:rFonts w:hint="eastAsia" w:ascii="楷体_GB2312" w:hAnsi="楷体_GB2312" w:eastAsia="楷体_GB2312" w:cs="楷体_GB2312"/>
          <w:color w:val="auto"/>
          <w:sz w:val="28"/>
          <w:szCs w:val="28"/>
          <w:lang w:eastAsia="zh-CN"/>
        </w:rPr>
        <w:t>法人身份证原件</w:t>
      </w:r>
      <w:r>
        <w:rPr>
          <w:rFonts w:hint="eastAsia" w:ascii="楷体_GB2312" w:hAnsi="楷体_GB2312" w:eastAsia="楷体_GB2312" w:cs="楷体_GB2312"/>
          <w:color w:val="auto"/>
          <w:sz w:val="28"/>
          <w:szCs w:val="28"/>
        </w:rPr>
        <w:t>或者复印件并加盖公章</w:t>
      </w:r>
      <w:r>
        <w:rPr>
          <w:rFonts w:hint="eastAsia" w:ascii="楷体_GB2312" w:hAnsi="楷体_GB2312" w:eastAsia="楷体_GB2312" w:cs="楷体_GB2312"/>
          <w:color w:val="auto"/>
          <w:sz w:val="28"/>
          <w:szCs w:val="28"/>
          <w:lang w:eastAsia="zh-CN"/>
        </w:rPr>
        <w:t>及其他相关资质。</w:t>
      </w:r>
    </w:p>
    <w:p w14:paraId="4D260711">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2" w:firstLineChars="200"/>
        <w:textAlignment w:val="baseline"/>
        <w:rPr>
          <w:rFonts w:hint="eastAsia" w:ascii="楷体_GB2312" w:hAnsi="楷体_GB2312" w:eastAsia="楷体_GB2312" w:cs="楷体_GB2312"/>
          <w:color w:val="auto"/>
          <w:sz w:val="28"/>
          <w:szCs w:val="28"/>
          <w:lang w:val="zh-CN" w:eastAsia="zh-CN"/>
        </w:rPr>
      </w:pPr>
      <w:r>
        <w:rPr>
          <w:rFonts w:hint="eastAsia" w:ascii="楷体_GB2312" w:hAnsi="楷体_GB2312" w:eastAsia="楷体_GB2312" w:cs="楷体_GB2312"/>
          <w:b/>
          <w:bCs/>
          <w:color w:val="auto"/>
          <w:sz w:val="28"/>
          <w:szCs w:val="28"/>
          <w:lang w:val="en-US" w:eastAsia="zh-CN"/>
        </w:rPr>
        <w:t>4、信誉要求</w:t>
      </w:r>
      <w:r>
        <w:rPr>
          <w:rFonts w:hint="eastAsia" w:ascii="楷体_GB2312" w:hAnsi="楷体_GB2312" w:eastAsia="楷体_GB2312" w:cs="楷体_GB2312"/>
          <w:color w:val="auto"/>
          <w:sz w:val="28"/>
          <w:szCs w:val="28"/>
          <w:lang w:val="en-US" w:eastAsia="zh-CN"/>
        </w:rPr>
        <w:t>：</w:t>
      </w:r>
      <w:r>
        <w:rPr>
          <w:rFonts w:hint="eastAsia" w:ascii="楷体_GB2312" w:hAnsi="楷体_GB2312" w:eastAsia="楷体_GB2312" w:cs="楷体_GB2312"/>
          <w:color w:val="auto"/>
          <w:sz w:val="28"/>
          <w:szCs w:val="28"/>
          <w:lang w:val="zh-CN" w:eastAsia="zh-CN"/>
        </w:rPr>
        <w:t>投标人不得存在下列不良状况或不良信用记录:</w:t>
      </w:r>
    </w:p>
    <w:p w14:paraId="771519F6">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firstLineChars="200"/>
        <w:textAlignment w:val="baseline"/>
        <w:rPr>
          <w:rFonts w:ascii="楷体_GB2312" w:hAnsi="楷体_GB2312" w:eastAsia="楷体_GB2312" w:cs="楷体_GB2312"/>
          <w:color w:val="auto"/>
          <w:sz w:val="28"/>
          <w:szCs w:val="28"/>
          <w:lang w:val="zh-CN"/>
        </w:rPr>
      </w:pPr>
      <w:r>
        <w:rPr>
          <w:rFonts w:hint="eastAsia" w:ascii="楷体_GB2312" w:hAnsi="楷体_GB2312" w:eastAsia="楷体_GB2312" w:cs="楷体_GB2312"/>
          <w:color w:val="auto"/>
          <w:sz w:val="28"/>
          <w:szCs w:val="28"/>
          <w:lang w:val="zh-CN"/>
        </w:rPr>
        <w:t>(1)被县级及以上交通、住建、信访等部门列入黑名单内容涉及但不限于质量、安全、恶意讨薪等方面；</w:t>
      </w:r>
    </w:p>
    <w:p w14:paraId="4CF211D8">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firstLineChars="200"/>
        <w:textAlignment w:val="baseline"/>
        <w:rPr>
          <w:rFonts w:ascii="楷体_GB2312" w:hAnsi="楷体_GB2312" w:eastAsia="楷体_GB2312" w:cs="楷体_GB2312"/>
          <w:color w:val="auto"/>
          <w:sz w:val="28"/>
          <w:szCs w:val="28"/>
          <w:lang w:val="zh-CN"/>
        </w:rPr>
      </w:pPr>
      <w:r>
        <w:rPr>
          <w:rFonts w:hint="eastAsia" w:ascii="楷体_GB2312" w:hAnsi="楷体_GB2312" w:eastAsia="楷体_GB2312" w:cs="楷体_GB2312"/>
          <w:color w:val="auto"/>
          <w:sz w:val="28"/>
          <w:szCs w:val="28"/>
          <w:lang w:val="zh-CN"/>
        </w:rPr>
        <w:t>(2)被责令停业，暂扣或吊销执照，或吊销资质证书；</w:t>
      </w:r>
    </w:p>
    <w:p w14:paraId="172F2D07">
      <w:pPr>
        <w:keepNext w:val="0"/>
        <w:keepLines w:val="0"/>
        <w:pageBreakBefore w:val="0"/>
        <w:widowControl/>
        <w:kinsoku w:val="0"/>
        <w:wordWrap/>
        <w:overflowPunct/>
        <w:topLinePunct w:val="0"/>
        <w:autoSpaceDE w:val="0"/>
        <w:autoSpaceDN w:val="0"/>
        <w:bidi w:val="0"/>
        <w:adjustRightInd w:val="0"/>
        <w:snapToGrid w:val="0"/>
        <w:spacing w:beforeAutospacing="0" w:line="440" w:lineRule="exact"/>
        <w:ind w:firstLine="560" w:firstLineChars="200"/>
        <w:textAlignment w:val="baseline"/>
        <w:rPr>
          <w:rFonts w:ascii="楷体_GB2312" w:hAnsi="楷体_GB2312" w:eastAsia="楷体_GB2312" w:cs="楷体_GB2312"/>
          <w:color w:val="auto"/>
          <w:sz w:val="28"/>
          <w:szCs w:val="28"/>
          <w:lang w:val="zh-CN"/>
        </w:rPr>
      </w:pPr>
      <w:r>
        <w:rPr>
          <w:rFonts w:hint="eastAsia" w:ascii="楷体_GB2312" w:hAnsi="楷体_GB2312" w:eastAsia="楷体_GB2312" w:cs="楷体_GB2312"/>
          <w:color w:val="auto"/>
          <w:sz w:val="28"/>
          <w:szCs w:val="28"/>
          <w:lang w:val="zh-CN"/>
        </w:rPr>
        <w:t>(3)进入清算程序，或被宣告破产，或其他丧失履约能力的情形；</w:t>
      </w:r>
    </w:p>
    <w:p w14:paraId="381BD156">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firstLineChars="200"/>
        <w:textAlignment w:val="baseline"/>
        <w:rPr>
          <w:rFonts w:ascii="楷体_GB2312" w:hAnsi="楷体_GB2312" w:eastAsia="楷体_GB2312" w:cs="楷体_GB2312"/>
          <w:color w:val="auto"/>
          <w:sz w:val="28"/>
          <w:szCs w:val="28"/>
          <w:lang w:val="zh-CN"/>
        </w:rPr>
      </w:pPr>
      <w:r>
        <w:rPr>
          <w:rFonts w:hint="eastAsia" w:ascii="楷体_GB2312" w:hAnsi="楷体_GB2312" w:eastAsia="楷体_GB2312" w:cs="楷体_GB2312"/>
          <w:color w:val="auto"/>
          <w:sz w:val="28"/>
          <w:szCs w:val="28"/>
          <w:lang w:val="zh-CN"/>
        </w:rPr>
        <w:t>(4)在国家企业信用信息公示系(http://www. gsxt. gov. cn/)中被列入严重违法失信企业名单；</w:t>
      </w:r>
    </w:p>
    <w:p w14:paraId="17A42310">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firstLineChars="200"/>
        <w:textAlignment w:val="baseline"/>
        <w:rPr>
          <w:rFonts w:ascii="楷体_GB2312" w:hAnsi="楷体_GB2312" w:eastAsia="楷体_GB2312" w:cs="楷体_GB2312"/>
          <w:color w:val="auto"/>
          <w:sz w:val="28"/>
          <w:szCs w:val="28"/>
          <w:lang w:val="zh-CN"/>
        </w:rPr>
      </w:pPr>
      <w:r>
        <w:rPr>
          <w:rFonts w:hint="eastAsia" w:ascii="楷体_GB2312" w:hAnsi="楷体_GB2312" w:eastAsia="楷体_GB2312" w:cs="楷体_GB2312"/>
          <w:color w:val="auto"/>
          <w:sz w:val="28"/>
          <w:szCs w:val="28"/>
          <w:lang w:val="zh-CN"/>
        </w:rPr>
        <w:t>(5)在“信用中国”网站(http://www. credi tchina. gov. cn/)中被列入失信被执行人名单;</w:t>
      </w:r>
    </w:p>
    <w:p w14:paraId="5F842157">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firstLineChars="200"/>
        <w:textAlignment w:val="baseline"/>
        <w:rPr>
          <w:rFonts w:ascii="楷体_GB2312" w:hAnsi="楷体_GB2312" w:eastAsia="楷体_GB2312" w:cs="楷体_GB2312"/>
          <w:color w:val="auto"/>
          <w:sz w:val="28"/>
          <w:szCs w:val="28"/>
          <w:lang w:val="zh-CN"/>
        </w:rPr>
      </w:pPr>
      <w:r>
        <w:rPr>
          <w:rFonts w:hint="eastAsia" w:ascii="楷体_GB2312" w:hAnsi="楷体_GB2312" w:eastAsia="楷体_GB2312" w:cs="楷体_GB2312"/>
          <w:color w:val="auto"/>
          <w:sz w:val="28"/>
          <w:szCs w:val="28"/>
          <w:lang w:val="zh-CN"/>
        </w:rPr>
        <w:t>(6)近三年被我单位信用评价为C级及以下信用级别的；</w:t>
      </w:r>
    </w:p>
    <w:p w14:paraId="5E8F17E6">
      <w:pPr>
        <w:autoSpaceDE w:val="0"/>
        <w:autoSpaceDN w:val="0"/>
        <w:adjustRightInd w:val="0"/>
        <w:spacing w:line="460" w:lineRule="exact"/>
        <w:ind w:firstLine="560" w:firstLineChars="200"/>
        <w:rPr>
          <w:rFonts w:hint="eastAsia" w:ascii="楷体_GB2312" w:hAnsi="楷体_GB2312" w:eastAsia="楷体_GB2312" w:cs="楷体_GB2312"/>
          <w:color w:val="auto"/>
          <w:sz w:val="28"/>
          <w:szCs w:val="28"/>
          <w:lang w:val="zh-CN"/>
        </w:rPr>
      </w:pPr>
      <w:r>
        <w:rPr>
          <w:rFonts w:hint="eastAsia" w:ascii="楷体_GB2312" w:hAnsi="楷体_GB2312" w:eastAsia="楷体_GB2312" w:cs="楷体_GB2312"/>
          <w:color w:val="auto"/>
          <w:sz w:val="28"/>
          <w:szCs w:val="28"/>
          <w:lang w:val="zh-CN"/>
        </w:rPr>
        <w:t>(7)法律法规规定的其他情形。</w:t>
      </w:r>
    </w:p>
    <w:p w14:paraId="051BDDC2">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2" w:firstLineChars="200"/>
        <w:textAlignment w:val="baseline"/>
        <w:rPr>
          <w:rFonts w:hint="eastAsia" w:ascii="楷体_GB2312" w:hAnsi="楷体_GB2312" w:eastAsia="楷体_GB2312" w:cs="楷体_GB2312"/>
          <w:b/>
          <w:bCs/>
          <w:color w:val="auto"/>
          <w:sz w:val="28"/>
          <w:szCs w:val="28"/>
          <w:lang w:val="en-US" w:eastAsia="zh-CN"/>
        </w:rPr>
      </w:pPr>
      <w:r>
        <w:rPr>
          <w:rFonts w:hint="eastAsia" w:ascii="楷体_GB2312" w:hAnsi="楷体_GB2312" w:eastAsia="楷体_GB2312" w:cs="楷体_GB2312"/>
          <w:b/>
          <w:bCs/>
          <w:sz w:val="28"/>
          <w:szCs w:val="28"/>
          <w:lang w:val="en-US" w:eastAsia="zh-CN"/>
        </w:rPr>
        <w:t>三</w:t>
      </w:r>
      <w:r>
        <w:rPr>
          <w:rFonts w:hint="eastAsia" w:ascii="楷体_GB2312" w:hAnsi="楷体_GB2312" w:eastAsia="楷体_GB2312" w:cs="楷体_GB2312"/>
          <w:b/>
          <w:bCs/>
          <w:color w:val="auto"/>
          <w:sz w:val="28"/>
          <w:szCs w:val="28"/>
          <w:lang w:val="en-US" w:eastAsia="zh-CN"/>
        </w:rPr>
        <w:t>、供货期及物资质量响应要求：</w:t>
      </w:r>
    </w:p>
    <w:p w14:paraId="787D1A6E">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textAlignment w:val="baseline"/>
        <w:rPr>
          <w:rFonts w:hint="eastAsia" w:ascii="楷体_GB2312" w:hAnsi="楷体_GB2312" w:eastAsia="楷体_GB2312" w:cs="楷体_GB2312"/>
          <w:color w:val="auto"/>
          <w:sz w:val="28"/>
          <w:szCs w:val="28"/>
          <w:lang w:eastAsia="zh-CN"/>
        </w:rPr>
      </w:pPr>
      <w:r>
        <w:rPr>
          <w:rFonts w:ascii="楷体_GB2312" w:hAnsi="楷体_GB2312" w:eastAsia="楷体_GB2312" w:cs="楷体_GB2312"/>
          <w:color w:val="auto"/>
          <w:sz w:val="28"/>
          <w:szCs w:val="28"/>
        </w:rPr>
        <w:t>1、</w:t>
      </w:r>
      <w:r>
        <w:rPr>
          <w:rFonts w:hint="eastAsia" w:ascii="楷体_GB2312" w:hAnsi="楷体_GB2312" w:eastAsia="楷体_GB2312" w:cs="楷体_GB2312"/>
          <w:color w:val="auto"/>
          <w:sz w:val="28"/>
          <w:szCs w:val="28"/>
        </w:rPr>
        <w:t>供货日期：</w:t>
      </w:r>
      <w:r>
        <w:rPr>
          <w:rFonts w:hint="eastAsia" w:ascii="楷体_GB2312" w:hAnsi="楷体_GB2312" w:eastAsia="楷体_GB2312" w:cs="楷体_GB2312"/>
          <w:color w:val="auto"/>
          <w:sz w:val="28"/>
          <w:szCs w:val="28"/>
          <w:lang w:eastAsia="zh-CN"/>
        </w:rPr>
        <w:t>根据甲方要求。</w:t>
      </w:r>
    </w:p>
    <w:p w14:paraId="7681ACD7">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textAlignment w:val="baseline"/>
        <w:rPr>
          <w:rFonts w:hint="eastAsia" w:ascii="楷体_GB2312" w:hAnsi="楷体_GB2312" w:eastAsia="楷体_GB2312" w:cs="楷体_GB2312"/>
          <w:sz w:val="28"/>
          <w:szCs w:val="28"/>
          <w:lang w:val="en-US" w:eastAsia="zh-CN"/>
        </w:rPr>
      </w:pPr>
      <w:r>
        <w:rPr>
          <w:rFonts w:ascii="楷体_GB2312" w:hAnsi="楷体_GB2312" w:eastAsia="楷体_GB2312" w:cs="楷体_GB2312"/>
          <w:sz w:val="28"/>
          <w:szCs w:val="28"/>
        </w:rPr>
        <w:t>2、</w:t>
      </w:r>
      <w:r>
        <w:rPr>
          <w:rFonts w:hint="eastAsia" w:ascii="楷体_GB2312" w:hAnsi="楷体_GB2312" w:eastAsia="楷体_GB2312" w:cs="楷体_GB2312"/>
          <w:sz w:val="28"/>
          <w:szCs w:val="28"/>
        </w:rPr>
        <w:t>交货日期：接到送货通知后三日内送货至甲方通知送货地点</w:t>
      </w:r>
      <w:r>
        <w:rPr>
          <w:rFonts w:hint="eastAsia" w:ascii="楷体_GB2312" w:hAnsi="楷体_GB2312" w:eastAsia="楷体_GB2312" w:cs="楷体_GB2312"/>
          <w:sz w:val="28"/>
          <w:szCs w:val="28"/>
          <w:lang w:eastAsia="zh-CN"/>
        </w:rPr>
        <w:t>。</w:t>
      </w:r>
    </w:p>
    <w:p w14:paraId="11B38F8E">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firstLineChars="200"/>
        <w:textAlignment w:val="baseline"/>
        <w:rPr>
          <w:rFonts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3</w:t>
      </w:r>
      <w:r>
        <w:rPr>
          <w:rFonts w:ascii="楷体_GB2312" w:hAnsi="楷体_GB2312" w:eastAsia="楷体_GB2312" w:cs="楷体_GB2312"/>
          <w:sz w:val="28"/>
          <w:szCs w:val="28"/>
        </w:rPr>
        <w:t>、本</w:t>
      </w:r>
      <w:r>
        <w:rPr>
          <w:rFonts w:hint="eastAsia" w:ascii="楷体_GB2312" w:hAnsi="楷体_GB2312" w:eastAsia="楷体_GB2312" w:cs="楷体_GB2312"/>
          <w:sz w:val="28"/>
          <w:szCs w:val="28"/>
          <w:lang w:val="en-US" w:eastAsia="zh-CN"/>
        </w:rPr>
        <w:t>物资</w:t>
      </w:r>
      <w:r>
        <w:rPr>
          <w:rFonts w:ascii="楷体_GB2312" w:hAnsi="楷体_GB2312" w:eastAsia="楷体_GB2312" w:cs="楷体_GB2312"/>
          <w:sz w:val="28"/>
          <w:szCs w:val="28"/>
        </w:rPr>
        <w:t>质量标准为：</w:t>
      </w:r>
      <w:r>
        <w:rPr>
          <w:rFonts w:ascii="楷体_GB2312" w:hAnsi="楷体_GB2312" w:eastAsia="楷体_GB2312" w:cs="楷体_GB2312"/>
          <w:b/>
          <w:bCs/>
          <w:sz w:val="28"/>
          <w:szCs w:val="28"/>
        </w:rPr>
        <w:t>合格，</w:t>
      </w:r>
      <w:r>
        <w:rPr>
          <w:rFonts w:ascii="楷体_GB2312" w:hAnsi="楷体_GB2312" w:eastAsia="楷体_GB2312" w:cs="楷体_GB2312"/>
          <w:sz w:val="28"/>
          <w:szCs w:val="28"/>
        </w:rPr>
        <w:t>且需满足甲方的使用要求，质量标准的评定以现行国家或行业的质量检验评定标准为依据。因乙方原因工程质量达不到约定的质量标准，乙方承担违约责任。</w:t>
      </w:r>
    </w:p>
    <w:p w14:paraId="1E5CDE8A">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2" w:firstLineChars="200"/>
        <w:textAlignment w:val="baseline"/>
        <w:rPr>
          <w:rFonts w:hint="eastAsia" w:ascii="楷体_GB2312" w:hAnsi="楷体_GB2312" w:eastAsia="楷体_GB2312" w:cs="楷体_GB2312"/>
          <w:b/>
          <w:bCs/>
          <w:color w:val="auto"/>
          <w:sz w:val="28"/>
          <w:szCs w:val="28"/>
          <w:lang w:val="en-US" w:eastAsia="zh-CN"/>
        </w:rPr>
      </w:pPr>
      <w:r>
        <w:rPr>
          <w:rFonts w:hint="eastAsia" w:ascii="楷体_GB2312" w:hAnsi="楷体_GB2312" w:eastAsia="楷体_GB2312" w:cs="楷体_GB2312"/>
          <w:b/>
          <w:bCs/>
          <w:sz w:val="28"/>
          <w:szCs w:val="28"/>
          <w:lang w:val="en-US" w:eastAsia="zh-CN"/>
        </w:rPr>
        <w:t>四</w:t>
      </w:r>
      <w:r>
        <w:rPr>
          <w:rFonts w:hint="eastAsia" w:ascii="楷体_GB2312" w:hAnsi="楷体_GB2312" w:eastAsia="楷体_GB2312" w:cs="楷体_GB2312"/>
          <w:b/>
          <w:bCs/>
          <w:color w:val="auto"/>
          <w:sz w:val="28"/>
          <w:szCs w:val="28"/>
          <w:lang w:val="en-US" w:eastAsia="zh-CN"/>
        </w:rPr>
        <w:t>、控制价以及影响报价的因素说明</w:t>
      </w:r>
    </w:p>
    <w:p w14:paraId="2FA4538E">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textAlignment w:val="baseline"/>
        <w:rPr>
          <w:rFonts w:hint="eastAsia" w:ascii="楷体_GB2312" w:hAnsi="楷体_GB2312" w:eastAsia="楷体_GB2312" w:cs="楷体_GB2312"/>
          <w:color w:val="auto"/>
          <w:sz w:val="28"/>
          <w:szCs w:val="28"/>
          <w:highlight w:val="none"/>
          <w:u w:val="none"/>
          <w:lang w:val="en-US" w:eastAsia="zh-CN"/>
        </w:rPr>
      </w:pPr>
      <w:r>
        <w:rPr>
          <w:rFonts w:ascii="楷体_GB2312" w:hAnsi="楷体_GB2312" w:eastAsia="楷体_GB2312" w:cs="楷体_GB2312"/>
          <w:sz w:val="28"/>
          <w:szCs w:val="28"/>
          <w:highlight w:val="none"/>
        </w:rPr>
        <w:t>1、控制</w:t>
      </w:r>
      <w:r>
        <w:rPr>
          <w:rFonts w:hint="eastAsia" w:ascii="楷体_GB2312" w:hAnsi="楷体_GB2312" w:eastAsia="楷体_GB2312" w:cs="楷体_GB2312"/>
          <w:sz w:val="28"/>
          <w:szCs w:val="28"/>
          <w:highlight w:val="none"/>
          <w:lang w:val="en-US" w:eastAsia="zh-CN"/>
        </w:rPr>
        <w:t>单</w:t>
      </w:r>
      <w:r>
        <w:rPr>
          <w:rFonts w:ascii="楷体_GB2312" w:hAnsi="楷体_GB2312" w:eastAsia="楷体_GB2312" w:cs="楷体_GB2312"/>
          <w:sz w:val="28"/>
          <w:szCs w:val="28"/>
          <w:highlight w:val="none"/>
        </w:rPr>
        <w:t>价</w:t>
      </w:r>
      <w:r>
        <w:rPr>
          <w:rFonts w:hint="eastAsia" w:ascii="楷体_GB2312" w:hAnsi="楷体_GB2312" w:eastAsia="楷体_GB2312" w:cs="楷体_GB2312"/>
          <w:sz w:val="28"/>
          <w:szCs w:val="28"/>
          <w:highlight w:val="none"/>
          <w:lang w:val="en-US" w:eastAsia="zh-CN"/>
        </w:rPr>
        <w:t>按市场挂牌价格下浮5角/升，</w:t>
      </w:r>
      <w:r>
        <w:rPr>
          <w:rFonts w:hint="eastAsia" w:ascii="楷体_GB2312" w:hAnsi="楷体_GB2312" w:eastAsia="楷体_GB2312" w:cs="楷体_GB2312"/>
          <w:color w:val="auto"/>
          <w:sz w:val="28"/>
          <w:szCs w:val="28"/>
          <w:highlight w:val="none"/>
          <w:u w:val="none"/>
          <w:lang w:val="en-US" w:eastAsia="zh-CN"/>
        </w:rPr>
        <w:t>（单价控制价均按无效价处理）。</w:t>
      </w:r>
    </w:p>
    <w:p w14:paraId="71F8C416">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textAlignment w:val="baseline"/>
        <w:rPr>
          <w:rFonts w:ascii="楷体_GB2312" w:hAnsi="楷体_GB2312" w:eastAsia="楷体_GB2312" w:cs="楷体_GB2312"/>
          <w:sz w:val="28"/>
          <w:szCs w:val="28"/>
          <w:highlight w:val="none"/>
        </w:rPr>
      </w:pPr>
      <w:r>
        <w:rPr>
          <w:rFonts w:ascii="楷体_GB2312" w:hAnsi="楷体_GB2312" w:eastAsia="楷体_GB2312" w:cs="楷体_GB2312"/>
          <w:sz w:val="28"/>
          <w:szCs w:val="28"/>
          <w:highlight w:val="none"/>
        </w:rPr>
        <w:t>2、投标单价均为不含税单价，包含</w:t>
      </w:r>
      <w:r>
        <w:rPr>
          <w:rFonts w:hint="eastAsia" w:ascii="楷体_GB2312" w:hAnsi="楷体_GB2312" w:eastAsia="楷体_GB2312" w:cs="楷体_GB2312"/>
          <w:sz w:val="28"/>
          <w:szCs w:val="28"/>
          <w:highlight w:val="none"/>
          <w:lang w:val="en-US" w:eastAsia="zh-CN"/>
        </w:rPr>
        <w:t>送至施工现场的运输费、</w:t>
      </w:r>
      <w:r>
        <w:rPr>
          <w:rFonts w:ascii="楷体_GB2312" w:hAnsi="楷体_GB2312" w:eastAsia="楷体_GB2312" w:cs="楷体_GB2312"/>
          <w:sz w:val="28"/>
          <w:szCs w:val="28"/>
          <w:highlight w:val="none"/>
        </w:rPr>
        <w:t>人工费、机械费、</w:t>
      </w:r>
      <w:r>
        <w:rPr>
          <w:rFonts w:hint="eastAsia" w:ascii="楷体_GB2312" w:hAnsi="楷体_GB2312" w:eastAsia="楷体_GB2312" w:cs="楷体_GB2312"/>
          <w:sz w:val="28"/>
          <w:szCs w:val="28"/>
          <w:highlight w:val="none"/>
          <w:lang w:val="en-US" w:eastAsia="zh-CN"/>
        </w:rPr>
        <w:t>材料费、</w:t>
      </w:r>
      <w:r>
        <w:rPr>
          <w:rFonts w:ascii="楷体_GB2312" w:hAnsi="楷体_GB2312" w:eastAsia="楷体_GB2312" w:cs="楷体_GB2312"/>
          <w:sz w:val="28"/>
          <w:szCs w:val="28"/>
          <w:highlight w:val="none"/>
        </w:rPr>
        <w:t>检测费、管理费</w:t>
      </w:r>
      <w:r>
        <w:rPr>
          <w:rFonts w:hint="eastAsia" w:ascii="楷体_GB2312" w:hAnsi="楷体_GB2312" w:eastAsia="楷体_GB2312" w:cs="楷体_GB2312"/>
          <w:sz w:val="28"/>
          <w:szCs w:val="28"/>
          <w:highlight w:val="none"/>
        </w:rPr>
        <w:t>、</w:t>
      </w:r>
      <w:r>
        <w:rPr>
          <w:rFonts w:ascii="楷体_GB2312" w:hAnsi="楷体_GB2312" w:eastAsia="楷体_GB2312" w:cs="楷体_GB2312"/>
          <w:sz w:val="28"/>
          <w:szCs w:val="28"/>
          <w:highlight w:val="none"/>
        </w:rPr>
        <w:t>规费、利润，并考虑风险因素等一切为完成本工程所包含的费用。</w:t>
      </w:r>
    </w:p>
    <w:p w14:paraId="57D0E164">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textAlignment w:val="baseline"/>
        <w:rPr>
          <w:rFonts w:hint="eastAsia" w:ascii="楷体_GB2312" w:hAnsi="楷体_GB2312" w:eastAsia="楷体_GB2312" w:cs="楷体_GB2312"/>
          <w:sz w:val="28"/>
          <w:szCs w:val="28"/>
          <w:lang w:eastAsia="zh-CN"/>
        </w:rPr>
      </w:pPr>
      <w:r>
        <w:rPr>
          <w:rFonts w:ascii="楷体_GB2312" w:hAnsi="楷体_GB2312" w:eastAsia="楷体_GB2312" w:cs="楷体_GB2312"/>
          <w:sz w:val="28"/>
          <w:szCs w:val="28"/>
        </w:rPr>
        <w:t>3、开具发票或代扣税金的要求：①</w:t>
      </w:r>
      <w:r>
        <w:rPr>
          <w:rFonts w:hint="eastAsia" w:ascii="楷体_GB2312" w:hAnsi="楷体_GB2312" w:eastAsia="楷体_GB2312" w:cs="楷体_GB2312"/>
          <w:sz w:val="28"/>
          <w:szCs w:val="28"/>
          <w:lang w:val="en-US" w:eastAsia="zh-CN"/>
        </w:rPr>
        <w:t>签约</w:t>
      </w:r>
      <w:r>
        <w:rPr>
          <w:rFonts w:ascii="楷体_GB2312" w:hAnsi="楷体_GB2312" w:eastAsia="楷体_GB2312" w:cs="楷体_GB2312"/>
          <w:sz w:val="28"/>
          <w:szCs w:val="28"/>
        </w:rPr>
        <w:t>时</w:t>
      </w:r>
      <w:r>
        <w:rPr>
          <w:rFonts w:hint="eastAsia" w:ascii="楷体_GB2312" w:hAnsi="楷体_GB2312" w:eastAsia="楷体_GB2312" w:cs="楷体_GB2312"/>
          <w:sz w:val="28"/>
          <w:szCs w:val="28"/>
          <w:lang w:val="en-US" w:eastAsia="zh-CN"/>
        </w:rPr>
        <w:t>供应商</w:t>
      </w:r>
      <w:r>
        <w:rPr>
          <w:rFonts w:ascii="楷体_GB2312" w:hAnsi="楷体_GB2312" w:eastAsia="楷体_GB2312" w:cs="楷体_GB2312"/>
          <w:sz w:val="28"/>
          <w:szCs w:val="28"/>
        </w:rPr>
        <w:t>方提供本公司开户银行及开户账号，</w:t>
      </w:r>
      <w:r>
        <w:rPr>
          <w:rFonts w:hint="eastAsia" w:ascii="楷体_GB2312" w:hAnsi="楷体_GB2312" w:eastAsia="楷体_GB2312" w:cs="楷体_GB2312"/>
          <w:sz w:val="28"/>
          <w:szCs w:val="28"/>
          <w:lang w:val="en-US" w:eastAsia="zh-CN"/>
        </w:rPr>
        <w:t>付款前</w:t>
      </w:r>
      <w:r>
        <w:rPr>
          <w:rFonts w:ascii="楷体_GB2312" w:hAnsi="楷体_GB2312" w:eastAsia="楷体_GB2312" w:cs="楷体_GB2312"/>
          <w:sz w:val="28"/>
          <w:szCs w:val="28"/>
        </w:rPr>
        <w:t>出具符合项目所在地税务机关要求的增值税专用发票，方能申请付款；②税金=不含税总价×税率</w:t>
      </w:r>
      <w:r>
        <w:rPr>
          <w:rFonts w:hint="eastAsia" w:ascii="楷体_GB2312" w:hAnsi="楷体_GB2312" w:eastAsia="楷体_GB2312" w:cs="楷体_GB2312"/>
          <w:sz w:val="28"/>
          <w:szCs w:val="28"/>
          <w:lang w:eastAsia="zh-CN"/>
        </w:rPr>
        <w:t>。</w:t>
      </w:r>
    </w:p>
    <w:p w14:paraId="0A73F798">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2" w:firstLineChars="200"/>
        <w:textAlignment w:val="baseline"/>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五、物资款的支付</w:t>
      </w:r>
    </w:p>
    <w:p w14:paraId="24B0A288">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40"/>
        <w:jc w:val="left"/>
        <w:textAlignment w:val="baseline"/>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①</w:t>
      </w:r>
      <w:r>
        <w:rPr>
          <w:rFonts w:hint="eastAsia" w:ascii="楷体_GB2312" w:hAnsi="楷体_GB2312" w:eastAsia="楷体_GB2312" w:cs="楷体_GB2312"/>
          <w:color w:val="auto"/>
          <w:sz w:val="28"/>
          <w:szCs w:val="28"/>
          <w:lang w:eastAsia="zh-CN"/>
        </w:rPr>
        <w:t>材料</w:t>
      </w:r>
      <w:r>
        <w:rPr>
          <w:rFonts w:hint="eastAsia" w:ascii="楷体_GB2312" w:hAnsi="楷体_GB2312" w:eastAsia="楷体_GB2312" w:cs="楷体_GB2312"/>
          <w:color w:val="auto"/>
          <w:sz w:val="28"/>
          <w:szCs w:val="28"/>
        </w:rPr>
        <w:t>预付款：本工程</w:t>
      </w:r>
      <w:r>
        <w:rPr>
          <w:rFonts w:hint="eastAsia" w:ascii="楷体_GB2312" w:hAnsi="楷体_GB2312" w:eastAsia="楷体_GB2312" w:cs="楷体_GB2312"/>
          <w:color w:val="auto"/>
          <w:sz w:val="28"/>
          <w:szCs w:val="28"/>
          <w:lang w:eastAsia="zh-CN"/>
        </w:rPr>
        <w:t>材料</w:t>
      </w:r>
      <w:r>
        <w:rPr>
          <w:rFonts w:hint="eastAsia" w:ascii="楷体_GB2312" w:hAnsi="楷体_GB2312" w:eastAsia="楷体_GB2312" w:cs="楷体_GB2312"/>
          <w:color w:val="auto"/>
          <w:sz w:val="28"/>
          <w:szCs w:val="28"/>
        </w:rPr>
        <w:t>无预付款；</w:t>
      </w:r>
    </w:p>
    <w:p w14:paraId="752DE91B">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40"/>
        <w:jc w:val="left"/>
        <w:textAlignment w:val="baseline"/>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rPr>
        <w:t>②工程</w:t>
      </w:r>
      <w:r>
        <w:rPr>
          <w:rFonts w:hint="eastAsia" w:ascii="楷体_GB2312" w:hAnsi="楷体_GB2312" w:eastAsia="楷体_GB2312" w:cs="楷体_GB2312"/>
          <w:color w:val="auto"/>
          <w:sz w:val="28"/>
          <w:szCs w:val="28"/>
          <w:lang w:eastAsia="zh-CN"/>
        </w:rPr>
        <w:t>材料</w:t>
      </w:r>
      <w:r>
        <w:rPr>
          <w:rFonts w:hint="eastAsia" w:ascii="楷体_GB2312" w:hAnsi="楷体_GB2312" w:eastAsia="楷体_GB2312" w:cs="楷体_GB2312"/>
          <w:color w:val="auto"/>
          <w:sz w:val="28"/>
          <w:szCs w:val="28"/>
        </w:rPr>
        <w:t>款的支付：</w:t>
      </w:r>
      <w:r>
        <w:rPr>
          <w:rFonts w:hint="eastAsia" w:ascii="楷体_GB2312" w:hAnsi="楷体_GB2312" w:eastAsia="楷体_GB2312" w:cs="楷体_GB2312"/>
          <w:color w:val="auto"/>
          <w:sz w:val="28"/>
          <w:szCs w:val="28"/>
          <w:lang w:val="en-US" w:eastAsia="zh-CN"/>
        </w:rPr>
        <w:t>物资</w:t>
      </w:r>
      <w:r>
        <w:rPr>
          <w:rFonts w:hint="eastAsia" w:ascii="楷体_GB2312" w:hAnsi="楷体_GB2312" w:eastAsia="楷体_GB2312" w:cs="楷体_GB2312"/>
          <w:color w:val="auto"/>
          <w:sz w:val="28"/>
          <w:szCs w:val="28"/>
        </w:rPr>
        <w:t>进场并复检合格后，根据收料单开具材料结算单。根据结算单</w:t>
      </w:r>
      <w:r>
        <w:rPr>
          <w:rFonts w:hint="eastAsia" w:ascii="楷体_GB2312" w:hAnsi="楷体_GB2312" w:eastAsia="楷体_GB2312" w:cs="楷体_GB2312"/>
          <w:color w:val="auto"/>
          <w:sz w:val="28"/>
          <w:szCs w:val="28"/>
          <w:lang w:val="en-US" w:eastAsia="zh-CN"/>
        </w:rPr>
        <w:t>结合项目计量款拨付进度支付货款</w:t>
      </w:r>
      <w:r>
        <w:rPr>
          <w:rFonts w:hint="eastAsia" w:ascii="楷体_GB2312" w:hAnsi="楷体_GB2312" w:eastAsia="楷体_GB2312" w:cs="楷体_GB2312"/>
          <w:color w:val="auto"/>
          <w:sz w:val="28"/>
          <w:szCs w:val="28"/>
        </w:rPr>
        <w:t>，</w:t>
      </w:r>
      <w:r>
        <w:rPr>
          <w:rFonts w:hint="eastAsia" w:ascii="楷体_GB2312" w:hAnsi="楷体_GB2312" w:eastAsia="楷体_GB2312" w:cs="楷体_GB2312"/>
          <w:color w:val="auto"/>
          <w:sz w:val="28"/>
          <w:szCs w:val="28"/>
          <w:lang w:val="en-US" w:eastAsia="zh-CN"/>
        </w:rPr>
        <w:t>乙方提供合格的增值税专用发票</w:t>
      </w:r>
      <w:r>
        <w:rPr>
          <w:rFonts w:hint="eastAsia" w:ascii="楷体_GB2312" w:hAnsi="楷体_GB2312" w:eastAsia="楷体_GB2312" w:cs="楷体_GB2312"/>
          <w:color w:val="auto"/>
          <w:sz w:val="28"/>
          <w:szCs w:val="28"/>
        </w:rPr>
        <w:t>。甲方扣留结算总价款的3%作为质量保证金。</w:t>
      </w:r>
      <w:r>
        <w:rPr>
          <w:rFonts w:hint="eastAsia" w:ascii="楷体_GB2312" w:hAnsi="楷体_GB2312" w:eastAsia="楷体_GB2312" w:cs="楷体_GB2312"/>
          <w:color w:val="auto"/>
          <w:sz w:val="28"/>
          <w:szCs w:val="28"/>
          <w:lang w:eastAsia="zh-CN"/>
        </w:rPr>
        <w:t>如遇有与政府有关调整税率的情况，不含税价款保持不变，税款据实另计。</w:t>
      </w:r>
      <w:r>
        <w:rPr>
          <w:rFonts w:hint="eastAsia" w:ascii="楷体_GB2312" w:hAnsi="楷体_GB2312" w:eastAsia="楷体_GB2312" w:cs="楷体_GB2312"/>
          <w:color w:val="auto"/>
          <w:sz w:val="28"/>
          <w:szCs w:val="28"/>
        </w:rPr>
        <w:t>注：供货单位需开具符合财务要求的合规发票，凭发票结算付款。</w:t>
      </w:r>
    </w:p>
    <w:p w14:paraId="3DD69718">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2" w:firstLineChars="200"/>
        <w:textAlignment w:val="baseline"/>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 xml:space="preserve">六、提交询价保证金的要求 </w:t>
      </w:r>
    </w:p>
    <w:p w14:paraId="60CA20A7">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40"/>
        <w:jc w:val="left"/>
        <w:textAlignment w:val="baseline"/>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lang w:val="en-US" w:eastAsia="zh-CN"/>
        </w:rPr>
        <w:t>无。</w:t>
      </w:r>
    </w:p>
    <w:p w14:paraId="7323273C">
      <w:pPr>
        <w:autoSpaceDE w:val="0"/>
        <w:autoSpaceDN w:val="0"/>
        <w:adjustRightInd w:val="0"/>
        <w:spacing w:line="460" w:lineRule="exact"/>
        <w:ind w:firstLine="562" w:firstLineChars="200"/>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七、递交报价函的时间、地点以及其他应说明的问题</w:t>
      </w:r>
    </w:p>
    <w:p w14:paraId="0280F06C">
      <w:pPr>
        <w:autoSpaceDE w:val="0"/>
        <w:autoSpaceDN w:val="0"/>
        <w:adjustRightInd w:val="0"/>
        <w:spacing w:line="460" w:lineRule="exact"/>
        <w:ind w:firstLine="450"/>
        <w:rPr>
          <w:rFonts w:hint="eastAsia" w:ascii="楷体_GB2312" w:hAnsi="楷体_GB2312" w:eastAsia="楷体_GB2312" w:cs="楷体_GB2312"/>
          <w:color w:val="auto"/>
          <w:sz w:val="28"/>
          <w:szCs w:val="28"/>
          <w:highlight w:val="none"/>
        </w:rPr>
      </w:pPr>
      <w:r>
        <w:rPr>
          <w:rFonts w:hint="eastAsia" w:ascii="楷体_GB2312" w:hAnsi="楷体_GB2312" w:eastAsia="楷体_GB2312" w:cs="楷体_GB2312"/>
          <w:color w:val="auto"/>
          <w:sz w:val="28"/>
          <w:szCs w:val="28"/>
          <w:highlight w:val="none"/>
          <w:lang w:val="en-US" w:eastAsia="zh-CN"/>
        </w:rPr>
        <w:t>1、</w:t>
      </w:r>
      <w:r>
        <w:rPr>
          <w:rFonts w:hint="eastAsia" w:ascii="楷体_GB2312" w:hAnsi="楷体_GB2312" w:eastAsia="楷体_GB2312" w:cs="楷体_GB2312"/>
          <w:color w:val="auto"/>
          <w:sz w:val="28"/>
          <w:szCs w:val="28"/>
          <w:highlight w:val="none"/>
        </w:rPr>
        <w:t>报价单提交时间及相关要求：请于</w:t>
      </w:r>
      <w:r>
        <w:rPr>
          <w:rFonts w:hint="eastAsia" w:ascii="楷体_GB2312" w:hAnsi="楷体_GB2312" w:eastAsia="楷体_GB2312" w:cs="楷体_GB2312"/>
          <w:color w:val="auto"/>
          <w:sz w:val="28"/>
          <w:szCs w:val="28"/>
          <w:highlight w:val="none"/>
          <w:lang w:val="en-US" w:eastAsia="zh-CN"/>
        </w:rPr>
        <w:t xml:space="preserve"> 2025</w:t>
      </w:r>
      <w:r>
        <w:rPr>
          <w:rFonts w:hint="eastAsia" w:ascii="楷体_GB2312" w:hAnsi="楷体_GB2312" w:eastAsia="楷体_GB2312" w:cs="楷体_GB2312"/>
          <w:color w:val="auto"/>
          <w:sz w:val="28"/>
          <w:szCs w:val="28"/>
          <w:highlight w:val="none"/>
        </w:rPr>
        <w:t>年</w:t>
      </w:r>
      <w:r>
        <w:rPr>
          <w:rFonts w:hint="eastAsia" w:ascii="楷体_GB2312" w:hAnsi="楷体_GB2312" w:eastAsia="楷体_GB2312" w:cs="楷体_GB2312"/>
          <w:color w:val="auto"/>
          <w:sz w:val="28"/>
          <w:szCs w:val="28"/>
          <w:highlight w:val="none"/>
          <w:lang w:val="en-US" w:eastAsia="zh-CN"/>
        </w:rPr>
        <w:t>3</w:t>
      </w:r>
      <w:r>
        <w:rPr>
          <w:rFonts w:hint="eastAsia" w:ascii="楷体_GB2312" w:hAnsi="楷体_GB2312" w:eastAsia="楷体_GB2312" w:cs="楷体_GB2312"/>
          <w:color w:val="auto"/>
          <w:sz w:val="28"/>
          <w:szCs w:val="28"/>
          <w:highlight w:val="none"/>
        </w:rPr>
        <w:t>月</w:t>
      </w:r>
      <w:r>
        <w:rPr>
          <w:rFonts w:hint="eastAsia" w:ascii="楷体_GB2312" w:hAnsi="楷体_GB2312" w:eastAsia="楷体_GB2312" w:cs="楷体_GB2312"/>
          <w:color w:val="auto"/>
          <w:sz w:val="28"/>
          <w:szCs w:val="28"/>
          <w:highlight w:val="none"/>
          <w:lang w:val="en-US" w:eastAsia="zh-CN"/>
        </w:rPr>
        <w:t>10</w:t>
      </w:r>
      <w:r>
        <w:rPr>
          <w:rFonts w:hint="eastAsia" w:ascii="楷体_GB2312" w:hAnsi="楷体_GB2312" w:eastAsia="楷体_GB2312" w:cs="楷体_GB2312"/>
          <w:color w:val="auto"/>
          <w:sz w:val="28"/>
          <w:szCs w:val="28"/>
          <w:highlight w:val="none"/>
        </w:rPr>
        <w:t>日</w:t>
      </w:r>
      <w:r>
        <w:rPr>
          <w:rFonts w:hint="eastAsia" w:ascii="楷体_GB2312" w:hAnsi="楷体_GB2312" w:eastAsia="楷体_GB2312" w:cs="楷体_GB2312"/>
          <w:color w:val="auto"/>
          <w:sz w:val="28"/>
          <w:szCs w:val="28"/>
          <w:highlight w:val="none"/>
          <w:lang w:val="en-US" w:eastAsia="zh-CN"/>
        </w:rPr>
        <w:t>下</w:t>
      </w:r>
      <w:bookmarkStart w:id="0" w:name="_GoBack"/>
      <w:bookmarkEnd w:id="0"/>
      <w:r>
        <w:rPr>
          <w:rFonts w:hint="eastAsia" w:ascii="楷体_GB2312" w:hAnsi="楷体_GB2312" w:eastAsia="楷体_GB2312" w:cs="楷体_GB2312"/>
          <w:color w:val="auto"/>
          <w:sz w:val="28"/>
          <w:szCs w:val="28"/>
          <w:highlight w:val="none"/>
          <w:lang w:val="en-US" w:eastAsia="zh-CN"/>
        </w:rPr>
        <w:t>午16</w:t>
      </w:r>
      <w:r>
        <w:rPr>
          <w:rFonts w:hint="eastAsia" w:ascii="楷体_GB2312" w:hAnsi="楷体_GB2312" w:eastAsia="楷体_GB2312" w:cs="楷体_GB2312"/>
          <w:color w:val="auto"/>
          <w:sz w:val="28"/>
          <w:szCs w:val="28"/>
          <w:highlight w:val="none"/>
        </w:rPr>
        <w:t>时</w:t>
      </w:r>
      <w:r>
        <w:rPr>
          <w:rFonts w:hint="eastAsia" w:ascii="楷体_GB2312" w:hAnsi="楷体_GB2312" w:eastAsia="楷体_GB2312" w:cs="楷体_GB2312"/>
          <w:color w:val="auto"/>
          <w:sz w:val="28"/>
          <w:szCs w:val="28"/>
          <w:highlight w:val="none"/>
          <w:lang w:val="en-US" w:eastAsia="zh-CN"/>
        </w:rPr>
        <w:t>00</w:t>
      </w:r>
      <w:r>
        <w:rPr>
          <w:rFonts w:hint="eastAsia" w:ascii="楷体_GB2312" w:hAnsi="楷体_GB2312" w:eastAsia="楷体_GB2312" w:cs="楷体_GB2312"/>
          <w:color w:val="auto"/>
          <w:sz w:val="28"/>
          <w:szCs w:val="28"/>
          <w:highlight w:val="none"/>
        </w:rPr>
        <w:t>分前，提交至</w:t>
      </w:r>
      <w:r>
        <w:rPr>
          <w:rFonts w:hint="eastAsia" w:ascii="楷体_GB2312" w:hAnsi="楷体_GB2312" w:eastAsia="楷体_GB2312" w:cs="楷体_GB2312"/>
          <w:color w:val="auto"/>
          <w:sz w:val="28"/>
          <w:szCs w:val="28"/>
          <w:highlight w:val="none"/>
          <w:lang w:val="en-US" w:eastAsia="zh-CN"/>
        </w:rPr>
        <w:t>德达交通建设发展集团德沃工业园会议室。</w:t>
      </w:r>
      <w:r>
        <w:rPr>
          <w:rFonts w:hint="eastAsia" w:ascii="楷体_GB2312" w:hAnsi="楷体_GB2312" w:eastAsia="楷体_GB2312" w:cs="楷体_GB2312"/>
          <w:color w:val="auto"/>
          <w:sz w:val="28"/>
          <w:szCs w:val="28"/>
          <w:highlight w:val="none"/>
        </w:rPr>
        <w:t>报价单按照我公司规定格式</w:t>
      </w:r>
      <w:r>
        <w:rPr>
          <w:rFonts w:hint="eastAsia" w:ascii="楷体_GB2312" w:hAnsi="楷体_GB2312" w:eastAsia="楷体_GB2312" w:cs="楷体_GB2312"/>
          <w:color w:val="auto"/>
          <w:sz w:val="28"/>
          <w:szCs w:val="28"/>
          <w:highlight w:val="none"/>
          <w:lang w:eastAsia="zh-CN"/>
        </w:rPr>
        <w:t>填写</w:t>
      </w:r>
      <w:r>
        <w:rPr>
          <w:rFonts w:hint="eastAsia" w:ascii="楷体_GB2312" w:hAnsi="楷体_GB2312" w:eastAsia="楷体_GB2312" w:cs="楷体_GB2312"/>
          <w:color w:val="auto"/>
          <w:sz w:val="28"/>
          <w:szCs w:val="28"/>
          <w:highlight w:val="none"/>
        </w:rPr>
        <w:t>，并且需要盖章签字。</w:t>
      </w:r>
    </w:p>
    <w:p w14:paraId="7AD926FC">
      <w:pPr>
        <w:autoSpaceDE w:val="0"/>
        <w:autoSpaceDN w:val="0"/>
        <w:adjustRightInd w:val="0"/>
        <w:spacing w:line="460" w:lineRule="exact"/>
        <w:ind w:firstLine="450"/>
        <w:rPr>
          <w:rFonts w:hint="default" w:ascii="楷体_GB2312" w:hAnsi="楷体_GB2312" w:eastAsia="楷体_GB2312" w:cs="楷体_GB2312"/>
          <w:color w:val="auto"/>
          <w:sz w:val="28"/>
          <w:szCs w:val="28"/>
          <w:highlight w:val="none"/>
          <w:lang w:val="en-US" w:eastAsia="en-US"/>
        </w:rPr>
      </w:pPr>
      <w:r>
        <w:rPr>
          <w:rFonts w:hint="eastAsia" w:ascii="楷体_GB2312" w:hAnsi="楷体_GB2312" w:eastAsia="楷体_GB2312" w:cs="楷体_GB2312"/>
          <w:color w:val="auto"/>
          <w:sz w:val="28"/>
          <w:szCs w:val="28"/>
          <w:highlight w:val="none"/>
          <w:lang w:val="en-US" w:eastAsia="zh-CN"/>
        </w:rPr>
        <w:t>2</w:t>
      </w:r>
      <w:r>
        <w:rPr>
          <w:rFonts w:hint="default" w:ascii="楷体_GB2312" w:hAnsi="楷体_GB2312" w:eastAsia="楷体_GB2312" w:cs="楷体_GB2312"/>
          <w:color w:val="auto"/>
          <w:sz w:val="28"/>
          <w:szCs w:val="28"/>
          <w:highlight w:val="none"/>
          <w:lang w:val="en-US" w:eastAsia="en-US"/>
        </w:rPr>
        <w:t>、</w:t>
      </w:r>
      <w:r>
        <w:rPr>
          <w:rFonts w:hint="eastAsia" w:ascii="楷体_GB2312" w:hAnsi="楷体_GB2312" w:eastAsia="楷体_GB2312" w:cs="楷体_GB2312"/>
          <w:color w:val="auto"/>
          <w:sz w:val="28"/>
          <w:szCs w:val="28"/>
          <w:highlight w:val="none"/>
          <w:lang w:val="en-US" w:eastAsia="en-US"/>
        </w:rPr>
        <w:t>因提交虚假资料而产生的一切后果由</w:t>
      </w:r>
      <w:r>
        <w:rPr>
          <w:rFonts w:hint="eastAsia" w:ascii="楷体_GB2312" w:hAnsi="楷体_GB2312" w:eastAsia="楷体_GB2312" w:cs="楷体_GB2312"/>
          <w:color w:val="auto"/>
          <w:sz w:val="28"/>
          <w:szCs w:val="28"/>
          <w:highlight w:val="none"/>
          <w:lang w:val="en-US" w:eastAsia="zh-CN"/>
        </w:rPr>
        <w:t>竞谈</w:t>
      </w:r>
      <w:r>
        <w:rPr>
          <w:rFonts w:hint="eastAsia" w:ascii="楷体_GB2312" w:hAnsi="楷体_GB2312" w:eastAsia="楷体_GB2312" w:cs="楷体_GB2312"/>
          <w:color w:val="auto"/>
          <w:sz w:val="28"/>
          <w:szCs w:val="28"/>
          <w:highlight w:val="none"/>
          <w:lang w:val="en-US" w:eastAsia="en-US"/>
        </w:rPr>
        <w:t>人自行承担。</w:t>
      </w:r>
      <w:r>
        <w:rPr>
          <w:rFonts w:hint="eastAsia" w:ascii="楷体_GB2312" w:hAnsi="楷体_GB2312" w:eastAsia="楷体_GB2312" w:cs="楷体_GB2312"/>
          <w:color w:val="auto"/>
          <w:sz w:val="28"/>
          <w:szCs w:val="28"/>
          <w:highlight w:val="none"/>
          <w:lang w:val="en-US" w:eastAsia="zh-CN"/>
        </w:rPr>
        <w:t>竞谈</w:t>
      </w:r>
      <w:r>
        <w:rPr>
          <w:rFonts w:hint="eastAsia" w:ascii="楷体_GB2312" w:hAnsi="楷体_GB2312" w:eastAsia="楷体_GB2312" w:cs="楷体_GB2312"/>
          <w:color w:val="auto"/>
          <w:sz w:val="28"/>
          <w:szCs w:val="28"/>
          <w:highlight w:val="none"/>
          <w:lang w:val="en-US" w:eastAsia="en-US"/>
        </w:rPr>
        <w:t>报名不代表资格审查的最终通过或合格。</w:t>
      </w:r>
    </w:p>
    <w:p w14:paraId="415E5941">
      <w:pPr>
        <w:autoSpaceDE w:val="0"/>
        <w:autoSpaceDN w:val="0"/>
        <w:adjustRightInd w:val="0"/>
        <w:spacing w:line="460" w:lineRule="exact"/>
        <w:ind w:firstLine="450"/>
        <w:rPr>
          <w:rFonts w:hint="eastAsia" w:ascii="楷体_GB2312" w:hAnsi="楷体_GB2312" w:eastAsia="楷体_GB2312" w:cs="楷体_GB2312"/>
          <w:color w:val="auto"/>
          <w:sz w:val="28"/>
          <w:szCs w:val="28"/>
          <w:highlight w:val="none"/>
          <w:lang w:val="en-US" w:eastAsia="en-US"/>
        </w:rPr>
      </w:pPr>
      <w:r>
        <w:rPr>
          <w:rFonts w:hint="eastAsia" w:ascii="楷体_GB2312" w:hAnsi="楷体_GB2312" w:eastAsia="楷体_GB2312" w:cs="楷体_GB2312"/>
          <w:color w:val="auto"/>
          <w:sz w:val="28"/>
          <w:szCs w:val="28"/>
          <w:highlight w:val="none"/>
          <w:lang w:val="en-US" w:eastAsia="zh-CN"/>
        </w:rPr>
        <w:t>3</w:t>
      </w:r>
      <w:r>
        <w:rPr>
          <w:rFonts w:hint="default" w:ascii="楷体_GB2312" w:hAnsi="楷体_GB2312" w:eastAsia="楷体_GB2312" w:cs="楷体_GB2312"/>
          <w:color w:val="auto"/>
          <w:sz w:val="28"/>
          <w:szCs w:val="28"/>
          <w:highlight w:val="none"/>
          <w:lang w:val="en-US" w:eastAsia="en-US"/>
        </w:rPr>
        <w:t>、重要说明：参与项目</w:t>
      </w:r>
      <w:r>
        <w:rPr>
          <w:rFonts w:hint="eastAsia" w:ascii="楷体_GB2312" w:hAnsi="楷体_GB2312" w:eastAsia="楷体_GB2312" w:cs="楷体_GB2312"/>
          <w:color w:val="auto"/>
          <w:sz w:val="28"/>
          <w:szCs w:val="28"/>
          <w:highlight w:val="none"/>
          <w:lang w:val="en-US" w:eastAsia="zh-CN"/>
        </w:rPr>
        <w:t>竞谈</w:t>
      </w:r>
      <w:r>
        <w:rPr>
          <w:rFonts w:hint="default" w:ascii="楷体_GB2312" w:hAnsi="楷体_GB2312" w:eastAsia="楷体_GB2312" w:cs="楷体_GB2312"/>
          <w:color w:val="auto"/>
          <w:sz w:val="28"/>
          <w:szCs w:val="28"/>
          <w:highlight w:val="none"/>
          <w:lang w:val="en-US" w:eastAsia="en-US"/>
        </w:rPr>
        <w:t>的</w:t>
      </w:r>
      <w:r>
        <w:rPr>
          <w:rFonts w:hint="eastAsia" w:ascii="楷体_GB2312" w:hAnsi="楷体_GB2312" w:eastAsia="楷体_GB2312" w:cs="楷体_GB2312"/>
          <w:color w:val="auto"/>
          <w:sz w:val="28"/>
          <w:szCs w:val="28"/>
          <w:highlight w:val="none"/>
          <w:lang w:val="en-US" w:eastAsia="en-US"/>
        </w:rPr>
        <w:t>供应商必须在</w:t>
      </w:r>
      <w:r>
        <w:rPr>
          <w:rFonts w:hint="eastAsia" w:ascii="楷体_GB2312" w:hAnsi="楷体_GB2312" w:eastAsia="楷体_GB2312" w:cs="楷体_GB2312"/>
          <w:color w:val="auto"/>
          <w:sz w:val="28"/>
          <w:szCs w:val="28"/>
          <w:highlight w:val="none"/>
          <w:lang w:val="en-US" w:eastAsia="zh-CN"/>
        </w:rPr>
        <w:t>德达交建集团</w:t>
      </w:r>
      <w:r>
        <w:rPr>
          <w:rFonts w:hint="eastAsia" w:ascii="楷体_GB2312" w:hAnsi="楷体_GB2312" w:eastAsia="楷体_GB2312" w:cs="楷体_GB2312"/>
          <w:color w:val="auto"/>
          <w:sz w:val="28"/>
          <w:szCs w:val="28"/>
          <w:highlight w:val="none"/>
          <w:lang w:val="en-US" w:eastAsia="en-US"/>
        </w:rPr>
        <w:t>办理供应商入库，否则招标人有权拒绝其参与投标。</w:t>
      </w:r>
    </w:p>
    <w:p w14:paraId="61AE9E2C">
      <w:pPr>
        <w:autoSpaceDE w:val="0"/>
        <w:autoSpaceDN w:val="0"/>
        <w:adjustRightInd w:val="0"/>
        <w:spacing w:line="460" w:lineRule="exact"/>
        <w:ind w:firstLine="450"/>
        <w:rPr>
          <w:rFonts w:hint="eastAsia" w:ascii="楷体_GB2312" w:hAnsi="楷体_GB2312" w:eastAsia="楷体_GB2312" w:cs="楷体_GB2312"/>
          <w:color w:val="auto"/>
          <w:sz w:val="28"/>
          <w:szCs w:val="28"/>
          <w:highlight w:val="none"/>
          <w:lang w:val="en-US" w:eastAsia="en-US"/>
        </w:rPr>
      </w:pPr>
      <w:r>
        <w:rPr>
          <w:rFonts w:hint="eastAsia" w:ascii="楷体_GB2312" w:hAnsi="楷体_GB2312" w:eastAsia="楷体_GB2312" w:cs="楷体_GB2312"/>
          <w:color w:val="auto"/>
          <w:sz w:val="28"/>
          <w:szCs w:val="28"/>
          <w:highlight w:val="none"/>
          <w:lang w:val="en-US" w:eastAsia="zh-CN"/>
        </w:rPr>
        <w:t>4、在本次报名中优先考虑2024年度德达交建集团合格供方单位。</w:t>
      </w:r>
    </w:p>
    <w:p w14:paraId="332B8F6C">
      <w:pPr>
        <w:autoSpaceDE w:val="0"/>
        <w:autoSpaceDN w:val="0"/>
        <w:adjustRightInd w:val="0"/>
        <w:spacing w:line="460" w:lineRule="exact"/>
        <w:ind w:firstLine="562" w:firstLineChars="200"/>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八、竞谈时间、方式：</w:t>
      </w:r>
    </w:p>
    <w:p w14:paraId="3AAD52DD">
      <w:pPr>
        <w:autoSpaceDE w:val="0"/>
        <w:autoSpaceDN w:val="0"/>
        <w:adjustRightInd w:val="0"/>
        <w:spacing w:line="460" w:lineRule="exact"/>
        <w:ind w:firstLine="450"/>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w:t>
      </w:r>
      <w:r>
        <w:rPr>
          <w:rFonts w:hint="default" w:ascii="楷体_GB2312" w:hAnsi="楷体_GB2312" w:eastAsia="楷体_GB2312" w:cs="楷体_GB2312"/>
          <w:color w:val="auto"/>
          <w:sz w:val="28"/>
          <w:szCs w:val="28"/>
          <w:highlight w:val="none"/>
          <w:lang w:val="en-US" w:eastAsia="zh-CN"/>
        </w:rPr>
        <w:t>1）</w:t>
      </w:r>
      <w:r>
        <w:rPr>
          <w:rFonts w:hint="eastAsia" w:ascii="楷体_GB2312" w:hAnsi="楷体_GB2312" w:eastAsia="楷体_GB2312" w:cs="楷体_GB2312"/>
          <w:color w:val="auto"/>
          <w:sz w:val="28"/>
          <w:szCs w:val="28"/>
          <w:highlight w:val="none"/>
          <w:lang w:val="en-US" w:eastAsia="zh-CN"/>
        </w:rPr>
        <w:t>报名</w:t>
      </w:r>
      <w:r>
        <w:rPr>
          <w:rFonts w:hint="default" w:ascii="楷体_GB2312" w:hAnsi="楷体_GB2312" w:eastAsia="楷体_GB2312" w:cs="楷体_GB2312"/>
          <w:color w:val="auto"/>
          <w:sz w:val="28"/>
          <w:szCs w:val="28"/>
          <w:highlight w:val="none"/>
          <w:lang w:val="en-US" w:eastAsia="zh-CN"/>
        </w:rPr>
        <w:t>时间：</w:t>
      </w:r>
      <w:r>
        <w:rPr>
          <w:rFonts w:hint="eastAsia" w:ascii="楷体_GB2312" w:hAnsi="楷体_GB2312" w:eastAsia="楷体_GB2312" w:cs="楷体_GB2312"/>
          <w:color w:val="auto"/>
          <w:sz w:val="28"/>
          <w:szCs w:val="28"/>
          <w:highlight w:val="none"/>
          <w:lang w:val="en-US" w:eastAsia="zh-CN"/>
        </w:rPr>
        <w:t>2025</w:t>
      </w:r>
      <w:r>
        <w:rPr>
          <w:rFonts w:hint="default" w:ascii="楷体_GB2312" w:hAnsi="楷体_GB2312" w:eastAsia="楷体_GB2312" w:cs="楷体_GB2312"/>
          <w:color w:val="auto"/>
          <w:sz w:val="28"/>
          <w:szCs w:val="28"/>
          <w:highlight w:val="none"/>
          <w:lang w:val="en-US" w:eastAsia="zh-CN"/>
        </w:rPr>
        <w:t>年</w:t>
      </w:r>
      <w:r>
        <w:rPr>
          <w:rFonts w:hint="eastAsia" w:ascii="楷体_GB2312" w:hAnsi="楷体_GB2312" w:eastAsia="楷体_GB2312" w:cs="楷体_GB2312"/>
          <w:color w:val="auto"/>
          <w:sz w:val="28"/>
          <w:szCs w:val="28"/>
          <w:highlight w:val="none"/>
          <w:lang w:val="en-US" w:eastAsia="zh-CN"/>
        </w:rPr>
        <w:t>3</w:t>
      </w:r>
      <w:r>
        <w:rPr>
          <w:rFonts w:hint="default" w:ascii="楷体_GB2312" w:hAnsi="楷体_GB2312" w:eastAsia="楷体_GB2312" w:cs="楷体_GB2312"/>
          <w:color w:val="auto"/>
          <w:sz w:val="28"/>
          <w:szCs w:val="28"/>
          <w:highlight w:val="none"/>
          <w:lang w:val="en-US" w:eastAsia="zh-CN"/>
        </w:rPr>
        <w:t>月</w:t>
      </w:r>
      <w:r>
        <w:rPr>
          <w:rFonts w:hint="eastAsia" w:ascii="楷体_GB2312" w:hAnsi="楷体_GB2312" w:eastAsia="楷体_GB2312" w:cs="楷体_GB2312"/>
          <w:color w:val="auto"/>
          <w:sz w:val="28"/>
          <w:szCs w:val="28"/>
          <w:highlight w:val="none"/>
          <w:lang w:val="en-US" w:eastAsia="zh-CN"/>
        </w:rPr>
        <w:t>6</w:t>
      </w:r>
      <w:r>
        <w:rPr>
          <w:rFonts w:hint="default" w:ascii="楷体_GB2312" w:hAnsi="楷体_GB2312" w:eastAsia="楷体_GB2312" w:cs="楷体_GB2312"/>
          <w:color w:val="auto"/>
          <w:sz w:val="28"/>
          <w:szCs w:val="28"/>
          <w:highlight w:val="none"/>
          <w:lang w:val="en-US" w:eastAsia="zh-CN"/>
        </w:rPr>
        <w:t>日</w:t>
      </w:r>
      <w:r>
        <w:rPr>
          <w:rFonts w:hint="eastAsia" w:ascii="楷体_GB2312" w:hAnsi="楷体_GB2312" w:eastAsia="楷体_GB2312" w:cs="楷体_GB2312"/>
          <w:color w:val="auto"/>
          <w:sz w:val="28"/>
          <w:szCs w:val="28"/>
          <w:highlight w:val="none"/>
          <w:lang w:val="en-US" w:eastAsia="zh-CN"/>
        </w:rPr>
        <w:t>-2025</w:t>
      </w:r>
      <w:r>
        <w:rPr>
          <w:rFonts w:hint="default" w:ascii="楷体_GB2312" w:hAnsi="楷体_GB2312" w:eastAsia="楷体_GB2312" w:cs="楷体_GB2312"/>
          <w:color w:val="auto"/>
          <w:sz w:val="28"/>
          <w:szCs w:val="28"/>
          <w:highlight w:val="none"/>
          <w:lang w:val="en-US" w:eastAsia="zh-CN"/>
        </w:rPr>
        <w:t>年</w:t>
      </w:r>
      <w:r>
        <w:rPr>
          <w:rFonts w:hint="eastAsia" w:ascii="楷体_GB2312" w:hAnsi="楷体_GB2312" w:eastAsia="楷体_GB2312" w:cs="楷体_GB2312"/>
          <w:color w:val="auto"/>
          <w:sz w:val="28"/>
          <w:szCs w:val="28"/>
          <w:highlight w:val="none"/>
          <w:lang w:val="en-US" w:eastAsia="zh-CN"/>
        </w:rPr>
        <w:t>3</w:t>
      </w:r>
      <w:r>
        <w:rPr>
          <w:rFonts w:hint="default" w:ascii="楷体_GB2312" w:hAnsi="楷体_GB2312" w:eastAsia="楷体_GB2312" w:cs="楷体_GB2312"/>
          <w:color w:val="auto"/>
          <w:sz w:val="28"/>
          <w:szCs w:val="28"/>
          <w:highlight w:val="none"/>
          <w:lang w:val="en-US" w:eastAsia="zh-CN"/>
        </w:rPr>
        <w:t>月</w:t>
      </w:r>
      <w:r>
        <w:rPr>
          <w:rFonts w:hint="eastAsia" w:ascii="楷体_GB2312" w:hAnsi="楷体_GB2312" w:eastAsia="楷体_GB2312" w:cs="楷体_GB2312"/>
          <w:color w:val="auto"/>
          <w:sz w:val="28"/>
          <w:szCs w:val="28"/>
          <w:highlight w:val="none"/>
          <w:lang w:val="en-US" w:eastAsia="zh-CN"/>
        </w:rPr>
        <w:t>10</w:t>
      </w:r>
      <w:r>
        <w:rPr>
          <w:rFonts w:hint="default" w:ascii="楷体_GB2312" w:hAnsi="楷体_GB2312" w:eastAsia="楷体_GB2312" w:cs="楷体_GB2312"/>
          <w:color w:val="auto"/>
          <w:sz w:val="28"/>
          <w:szCs w:val="28"/>
          <w:highlight w:val="none"/>
          <w:lang w:val="en-US" w:eastAsia="zh-CN"/>
        </w:rPr>
        <w:t>日</w:t>
      </w:r>
      <w:r>
        <w:rPr>
          <w:rFonts w:hint="eastAsia" w:ascii="楷体_GB2312" w:hAnsi="楷体_GB2312" w:eastAsia="楷体_GB2312" w:cs="楷体_GB2312"/>
          <w:color w:val="auto"/>
          <w:sz w:val="28"/>
          <w:szCs w:val="28"/>
          <w:highlight w:val="none"/>
          <w:lang w:val="en-US" w:eastAsia="zh-CN"/>
        </w:rPr>
        <w:t>上午11:00</w:t>
      </w:r>
      <w:r>
        <w:rPr>
          <w:rFonts w:hint="default" w:ascii="楷体_GB2312" w:hAnsi="楷体_GB2312" w:eastAsia="楷体_GB2312" w:cs="楷体_GB2312"/>
          <w:color w:val="auto"/>
          <w:sz w:val="28"/>
          <w:szCs w:val="28"/>
          <w:highlight w:val="none"/>
          <w:lang w:val="en-US" w:eastAsia="zh-CN"/>
        </w:rPr>
        <w:t>（北京时间）；</w:t>
      </w:r>
    </w:p>
    <w:p w14:paraId="6C2569B2">
      <w:pPr>
        <w:autoSpaceDE w:val="0"/>
        <w:autoSpaceDN w:val="0"/>
        <w:adjustRightInd w:val="0"/>
        <w:spacing w:line="460" w:lineRule="exact"/>
        <w:ind w:firstLine="450"/>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（2）报名地点：德达交通建设发展集团德沃工业园会议室；</w:t>
      </w:r>
    </w:p>
    <w:p w14:paraId="6E7620E4">
      <w:pPr>
        <w:autoSpaceDE w:val="0"/>
        <w:autoSpaceDN w:val="0"/>
        <w:adjustRightInd w:val="0"/>
        <w:spacing w:line="460" w:lineRule="exact"/>
        <w:ind w:firstLine="450"/>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（3</w:t>
      </w:r>
      <w:r>
        <w:rPr>
          <w:rFonts w:hint="default" w:ascii="楷体_GB2312" w:hAnsi="楷体_GB2312" w:eastAsia="楷体_GB2312" w:cs="楷体_GB2312"/>
          <w:color w:val="auto"/>
          <w:sz w:val="28"/>
          <w:szCs w:val="28"/>
          <w:highlight w:val="none"/>
          <w:lang w:val="en-US" w:eastAsia="zh-CN"/>
        </w:rPr>
        <w:t>）</w:t>
      </w:r>
      <w:r>
        <w:rPr>
          <w:rFonts w:hint="eastAsia" w:ascii="楷体_GB2312" w:hAnsi="楷体_GB2312" w:eastAsia="楷体_GB2312" w:cs="楷体_GB2312"/>
          <w:color w:val="auto"/>
          <w:sz w:val="28"/>
          <w:szCs w:val="28"/>
          <w:highlight w:val="none"/>
          <w:lang w:val="en-US" w:eastAsia="zh-CN"/>
        </w:rPr>
        <w:t>竞谈</w:t>
      </w:r>
      <w:r>
        <w:rPr>
          <w:rFonts w:hint="default" w:ascii="楷体_GB2312" w:hAnsi="楷体_GB2312" w:eastAsia="楷体_GB2312" w:cs="楷体_GB2312"/>
          <w:color w:val="auto"/>
          <w:sz w:val="28"/>
          <w:szCs w:val="28"/>
          <w:highlight w:val="none"/>
          <w:lang w:val="en-US" w:eastAsia="zh-CN"/>
        </w:rPr>
        <w:t>时间：</w:t>
      </w:r>
      <w:r>
        <w:rPr>
          <w:rFonts w:hint="eastAsia" w:ascii="楷体_GB2312" w:hAnsi="楷体_GB2312" w:eastAsia="楷体_GB2312" w:cs="楷体_GB2312"/>
          <w:color w:val="auto"/>
          <w:sz w:val="28"/>
          <w:szCs w:val="28"/>
          <w:highlight w:val="none"/>
          <w:lang w:val="en-US" w:eastAsia="zh-CN"/>
        </w:rPr>
        <w:t>2025</w:t>
      </w:r>
      <w:r>
        <w:rPr>
          <w:rFonts w:hint="default" w:ascii="楷体_GB2312" w:hAnsi="楷体_GB2312" w:eastAsia="楷体_GB2312" w:cs="楷体_GB2312"/>
          <w:color w:val="auto"/>
          <w:sz w:val="28"/>
          <w:szCs w:val="28"/>
          <w:highlight w:val="none"/>
          <w:lang w:val="en-US" w:eastAsia="zh-CN"/>
        </w:rPr>
        <w:t>年</w:t>
      </w:r>
      <w:r>
        <w:rPr>
          <w:rFonts w:hint="eastAsia" w:ascii="楷体_GB2312" w:hAnsi="楷体_GB2312" w:eastAsia="楷体_GB2312" w:cs="楷体_GB2312"/>
          <w:color w:val="auto"/>
          <w:sz w:val="28"/>
          <w:szCs w:val="28"/>
          <w:highlight w:val="none"/>
          <w:lang w:val="en-US" w:eastAsia="zh-CN"/>
        </w:rPr>
        <w:t>3</w:t>
      </w:r>
      <w:r>
        <w:rPr>
          <w:rFonts w:hint="default" w:ascii="楷体_GB2312" w:hAnsi="楷体_GB2312" w:eastAsia="楷体_GB2312" w:cs="楷体_GB2312"/>
          <w:color w:val="auto"/>
          <w:sz w:val="28"/>
          <w:szCs w:val="28"/>
          <w:highlight w:val="none"/>
          <w:lang w:val="en-US" w:eastAsia="zh-CN"/>
        </w:rPr>
        <w:t>月</w:t>
      </w:r>
      <w:r>
        <w:rPr>
          <w:rFonts w:hint="eastAsia" w:ascii="楷体_GB2312" w:hAnsi="楷体_GB2312" w:eastAsia="楷体_GB2312" w:cs="楷体_GB2312"/>
          <w:color w:val="auto"/>
          <w:sz w:val="28"/>
          <w:szCs w:val="28"/>
          <w:highlight w:val="none"/>
          <w:lang w:val="en-US" w:eastAsia="zh-CN"/>
        </w:rPr>
        <w:t>10</w:t>
      </w:r>
      <w:r>
        <w:rPr>
          <w:rFonts w:hint="default" w:ascii="楷体_GB2312" w:hAnsi="楷体_GB2312" w:eastAsia="楷体_GB2312" w:cs="楷体_GB2312"/>
          <w:color w:val="auto"/>
          <w:sz w:val="28"/>
          <w:szCs w:val="28"/>
          <w:highlight w:val="none"/>
          <w:lang w:val="en-US" w:eastAsia="zh-CN"/>
        </w:rPr>
        <w:t>日</w:t>
      </w:r>
      <w:r>
        <w:rPr>
          <w:rFonts w:hint="eastAsia" w:ascii="楷体_GB2312" w:hAnsi="楷体_GB2312" w:eastAsia="楷体_GB2312" w:cs="楷体_GB2312"/>
          <w:color w:val="auto"/>
          <w:sz w:val="28"/>
          <w:szCs w:val="28"/>
          <w:highlight w:val="none"/>
          <w:lang w:val="en-US" w:eastAsia="zh-CN"/>
        </w:rPr>
        <w:t>16</w:t>
      </w:r>
      <w:r>
        <w:rPr>
          <w:rFonts w:hint="default" w:ascii="楷体_GB2312" w:hAnsi="楷体_GB2312" w:eastAsia="楷体_GB2312" w:cs="楷体_GB2312"/>
          <w:color w:val="auto"/>
          <w:sz w:val="28"/>
          <w:szCs w:val="28"/>
          <w:highlight w:val="none"/>
          <w:lang w:val="en-US" w:eastAsia="zh-CN"/>
        </w:rPr>
        <w:t>时</w:t>
      </w:r>
      <w:r>
        <w:rPr>
          <w:rFonts w:hint="eastAsia" w:ascii="楷体_GB2312" w:hAnsi="楷体_GB2312" w:eastAsia="楷体_GB2312" w:cs="楷体_GB2312"/>
          <w:color w:val="auto"/>
          <w:sz w:val="28"/>
          <w:szCs w:val="28"/>
          <w:highlight w:val="none"/>
          <w:lang w:val="en-US" w:eastAsia="zh-CN"/>
        </w:rPr>
        <w:t>00</w:t>
      </w:r>
      <w:r>
        <w:rPr>
          <w:rFonts w:hint="default" w:ascii="楷体_GB2312" w:hAnsi="楷体_GB2312" w:eastAsia="楷体_GB2312" w:cs="楷体_GB2312"/>
          <w:color w:val="auto"/>
          <w:sz w:val="28"/>
          <w:szCs w:val="28"/>
          <w:highlight w:val="none"/>
          <w:lang w:val="en-US" w:eastAsia="zh-CN"/>
        </w:rPr>
        <w:t>分（北京时间）；</w:t>
      </w:r>
    </w:p>
    <w:p w14:paraId="35D8B7D6">
      <w:pPr>
        <w:autoSpaceDE w:val="0"/>
        <w:autoSpaceDN w:val="0"/>
        <w:adjustRightInd w:val="0"/>
        <w:spacing w:line="460" w:lineRule="exact"/>
        <w:ind w:firstLine="450"/>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（4</w:t>
      </w:r>
      <w:r>
        <w:rPr>
          <w:rFonts w:hint="default" w:ascii="楷体_GB2312" w:hAnsi="楷体_GB2312" w:eastAsia="楷体_GB2312" w:cs="楷体_GB2312"/>
          <w:color w:val="auto"/>
          <w:sz w:val="28"/>
          <w:szCs w:val="28"/>
          <w:highlight w:val="none"/>
          <w:lang w:val="en-US" w:eastAsia="zh-CN"/>
        </w:rPr>
        <w:t>）</w:t>
      </w:r>
      <w:r>
        <w:rPr>
          <w:rFonts w:hint="eastAsia" w:ascii="楷体_GB2312" w:hAnsi="楷体_GB2312" w:eastAsia="楷体_GB2312" w:cs="楷体_GB2312"/>
          <w:color w:val="auto"/>
          <w:sz w:val="28"/>
          <w:szCs w:val="28"/>
          <w:highlight w:val="none"/>
          <w:lang w:val="en-US" w:eastAsia="zh-CN"/>
        </w:rPr>
        <w:t>竞谈</w:t>
      </w:r>
      <w:r>
        <w:rPr>
          <w:rFonts w:hint="default" w:ascii="楷体_GB2312" w:hAnsi="楷体_GB2312" w:eastAsia="楷体_GB2312" w:cs="楷体_GB2312"/>
          <w:color w:val="auto"/>
          <w:sz w:val="28"/>
          <w:szCs w:val="28"/>
          <w:highlight w:val="none"/>
          <w:lang w:val="en-US" w:eastAsia="zh-CN"/>
        </w:rPr>
        <w:t>地点：</w:t>
      </w:r>
      <w:r>
        <w:rPr>
          <w:rFonts w:hint="eastAsia" w:ascii="楷体_GB2312" w:hAnsi="楷体_GB2312" w:eastAsia="楷体_GB2312" w:cs="楷体_GB2312"/>
          <w:color w:val="auto"/>
          <w:sz w:val="28"/>
          <w:szCs w:val="28"/>
          <w:highlight w:val="none"/>
          <w:lang w:val="en-US" w:eastAsia="zh-CN"/>
        </w:rPr>
        <w:t>德达交通建设发展集团德沃工业园会议室</w:t>
      </w:r>
      <w:r>
        <w:rPr>
          <w:rFonts w:hint="default" w:ascii="楷体_GB2312" w:hAnsi="楷体_GB2312" w:eastAsia="楷体_GB2312" w:cs="楷体_GB2312"/>
          <w:color w:val="auto"/>
          <w:sz w:val="28"/>
          <w:szCs w:val="28"/>
          <w:highlight w:val="none"/>
          <w:lang w:val="en-US" w:eastAsia="zh-CN"/>
        </w:rPr>
        <w:t>；</w:t>
      </w:r>
    </w:p>
    <w:p w14:paraId="1F440749">
      <w:pPr>
        <w:autoSpaceDE w:val="0"/>
        <w:autoSpaceDN w:val="0"/>
        <w:adjustRightInd w:val="0"/>
        <w:spacing w:line="460" w:lineRule="exact"/>
        <w:ind w:firstLine="450"/>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（5</w:t>
      </w:r>
      <w:r>
        <w:rPr>
          <w:rFonts w:hint="default" w:ascii="楷体_GB2312" w:hAnsi="楷体_GB2312" w:eastAsia="楷体_GB2312" w:cs="楷体_GB2312"/>
          <w:color w:val="auto"/>
          <w:sz w:val="28"/>
          <w:szCs w:val="28"/>
          <w:highlight w:val="none"/>
          <w:lang w:val="en-US" w:eastAsia="zh-CN"/>
        </w:rPr>
        <w:t>）</w:t>
      </w:r>
      <w:r>
        <w:rPr>
          <w:rFonts w:hint="eastAsia" w:ascii="楷体_GB2312" w:hAnsi="楷体_GB2312" w:eastAsia="楷体_GB2312" w:cs="楷体_GB2312"/>
          <w:color w:val="auto"/>
          <w:sz w:val="28"/>
          <w:szCs w:val="28"/>
          <w:highlight w:val="none"/>
          <w:lang w:val="en-US" w:eastAsia="zh-CN"/>
        </w:rPr>
        <w:t>竞谈</w:t>
      </w:r>
      <w:r>
        <w:rPr>
          <w:rFonts w:hint="default" w:ascii="楷体_GB2312" w:hAnsi="楷体_GB2312" w:eastAsia="楷体_GB2312" w:cs="楷体_GB2312"/>
          <w:color w:val="auto"/>
          <w:sz w:val="28"/>
          <w:szCs w:val="28"/>
          <w:highlight w:val="none"/>
          <w:lang w:val="en-US" w:eastAsia="zh-CN"/>
        </w:rPr>
        <w:t>方式：</w:t>
      </w:r>
      <w:r>
        <w:rPr>
          <w:rFonts w:hint="eastAsia" w:ascii="楷体_GB2312" w:hAnsi="楷体_GB2312" w:eastAsia="楷体_GB2312" w:cs="楷体_GB2312"/>
          <w:color w:val="auto"/>
          <w:sz w:val="28"/>
          <w:szCs w:val="28"/>
          <w:highlight w:val="none"/>
          <w:lang w:val="en-US" w:eastAsia="zh-CN"/>
        </w:rPr>
        <w:t>现场竞谈</w:t>
      </w:r>
      <w:r>
        <w:rPr>
          <w:rFonts w:hint="default" w:ascii="楷体_GB2312" w:hAnsi="楷体_GB2312" w:eastAsia="楷体_GB2312" w:cs="楷体_GB2312"/>
          <w:color w:val="auto"/>
          <w:sz w:val="28"/>
          <w:szCs w:val="28"/>
          <w:highlight w:val="none"/>
          <w:lang w:val="en-US" w:eastAsia="zh-CN"/>
        </w:rPr>
        <w:t>。</w:t>
      </w:r>
    </w:p>
    <w:p w14:paraId="67589BB7">
      <w:pPr>
        <w:autoSpaceDE w:val="0"/>
        <w:autoSpaceDN w:val="0"/>
        <w:adjustRightInd w:val="0"/>
        <w:spacing w:line="460" w:lineRule="exact"/>
        <w:ind w:firstLine="450"/>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（6</w:t>
      </w:r>
      <w:r>
        <w:rPr>
          <w:rFonts w:hint="default" w:ascii="楷体_GB2312" w:hAnsi="楷体_GB2312" w:eastAsia="楷体_GB2312" w:cs="楷体_GB2312"/>
          <w:color w:val="auto"/>
          <w:sz w:val="28"/>
          <w:szCs w:val="28"/>
          <w:highlight w:val="none"/>
          <w:lang w:val="en-US" w:eastAsia="zh-CN"/>
        </w:rPr>
        <w:t>）</w:t>
      </w:r>
      <w:r>
        <w:rPr>
          <w:rFonts w:hint="eastAsia" w:ascii="楷体_GB2312" w:hAnsi="楷体_GB2312" w:eastAsia="楷体_GB2312" w:cs="楷体_GB2312"/>
          <w:color w:val="auto"/>
          <w:sz w:val="28"/>
          <w:szCs w:val="28"/>
          <w:highlight w:val="none"/>
          <w:lang w:val="en-US" w:eastAsia="zh-CN"/>
        </w:rPr>
        <w:t>候场地点</w:t>
      </w:r>
      <w:r>
        <w:rPr>
          <w:rFonts w:hint="default" w:ascii="楷体_GB2312" w:hAnsi="楷体_GB2312" w:eastAsia="楷体_GB2312" w:cs="楷体_GB2312"/>
          <w:color w:val="auto"/>
          <w:sz w:val="28"/>
          <w:szCs w:val="28"/>
          <w:highlight w:val="none"/>
          <w:lang w:val="en-US" w:eastAsia="zh-CN"/>
        </w:rPr>
        <w:t>：</w:t>
      </w:r>
      <w:r>
        <w:rPr>
          <w:rFonts w:hint="eastAsia" w:ascii="楷体_GB2312" w:hAnsi="楷体_GB2312" w:eastAsia="楷体_GB2312" w:cs="楷体_GB2312"/>
          <w:color w:val="auto"/>
          <w:sz w:val="28"/>
          <w:szCs w:val="28"/>
          <w:highlight w:val="none"/>
          <w:lang w:val="en-US" w:eastAsia="zh-CN"/>
        </w:rPr>
        <w:t>德达交通建设发展集团德沃工业园会议室</w:t>
      </w:r>
      <w:r>
        <w:rPr>
          <w:rFonts w:hint="default" w:ascii="楷体_GB2312" w:hAnsi="楷体_GB2312" w:eastAsia="楷体_GB2312" w:cs="楷体_GB2312"/>
          <w:color w:val="auto"/>
          <w:sz w:val="28"/>
          <w:szCs w:val="28"/>
          <w:highlight w:val="none"/>
          <w:lang w:val="en-US" w:eastAsia="zh-CN"/>
        </w:rPr>
        <w:t>。</w:t>
      </w:r>
    </w:p>
    <w:p w14:paraId="361A84FD">
      <w:pPr>
        <w:autoSpaceDE w:val="0"/>
        <w:autoSpaceDN w:val="0"/>
        <w:adjustRightInd w:val="0"/>
        <w:spacing w:line="460" w:lineRule="exact"/>
        <w:ind w:firstLine="562" w:firstLineChars="200"/>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九、竞谈情况说明</w:t>
      </w:r>
    </w:p>
    <w:p w14:paraId="2E873432">
      <w:pPr>
        <w:autoSpaceDE w:val="0"/>
        <w:autoSpaceDN w:val="0"/>
        <w:adjustRightInd w:val="0"/>
        <w:spacing w:line="460" w:lineRule="exact"/>
        <w:ind w:firstLine="560" w:firstLineChars="200"/>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1、本次竞谈根据首轮谈判情况由招标人决定是否进行二次报价；</w:t>
      </w:r>
    </w:p>
    <w:p w14:paraId="085138E0">
      <w:pPr>
        <w:autoSpaceDE w:val="0"/>
        <w:autoSpaceDN w:val="0"/>
        <w:adjustRightInd w:val="0"/>
        <w:spacing w:line="460" w:lineRule="exact"/>
        <w:ind w:firstLine="560" w:firstLineChars="200"/>
        <w:rPr>
          <w:rFonts w:hint="eastAsia" w:ascii="楷体_GB2312" w:hAnsi="楷体_GB2312" w:eastAsia="楷体_GB2312" w:cs="楷体_GB2312"/>
          <w:color w:val="auto"/>
          <w:sz w:val="28"/>
          <w:szCs w:val="28"/>
          <w:highlight w:val="none"/>
        </w:rPr>
      </w:pPr>
      <w:r>
        <w:rPr>
          <w:rFonts w:hint="eastAsia" w:ascii="楷体_GB2312" w:hAnsi="楷体_GB2312" w:eastAsia="楷体_GB2312" w:cs="楷体_GB2312"/>
          <w:color w:val="auto"/>
          <w:sz w:val="28"/>
          <w:szCs w:val="28"/>
          <w:highlight w:val="none"/>
          <w:lang w:val="en-US" w:eastAsia="zh-CN"/>
        </w:rPr>
        <w:t>2</w:t>
      </w:r>
      <w:r>
        <w:rPr>
          <w:rFonts w:hint="eastAsia" w:ascii="楷体_GB2312" w:hAnsi="楷体_GB2312" w:eastAsia="楷体_GB2312" w:cs="楷体_GB2312"/>
          <w:color w:val="auto"/>
          <w:sz w:val="28"/>
          <w:szCs w:val="28"/>
          <w:highlight w:val="none"/>
        </w:rPr>
        <w:t>、</w:t>
      </w:r>
      <w:r>
        <w:rPr>
          <w:rFonts w:hint="eastAsia" w:ascii="楷体_GB2312" w:hAnsi="楷体_GB2312" w:eastAsia="楷体_GB2312" w:cs="楷体_GB2312"/>
          <w:color w:val="auto"/>
          <w:sz w:val="28"/>
          <w:szCs w:val="28"/>
          <w:highlight w:val="none"/>
          <w:lang w:eastAsia="zh-CN"/>
        </w:rPr>
        <w:t>递交资料</w:t>
      </w:r>
      <w:r>
        <w:rPr>
          <w:rFonts w:hint="eastAsia" w:ascii="楷体_GB2312" w:hAnsi="楷体_GB2312" w:eastAsia="楷体_GB2312" w:cs="楷体_GB2312"/>
          <w:color w:val="auto"/>
          <w:sz w:val="28"/>
          <w:szCs w:val="28"/>
          <w:highlight w:val="none"/>
        </w:rPr>
        <w:t>：</w:t>
      </w:r>
      <w:r>
        <w:rPr>
          <w:rFonts w:hint="eastAsia" w:ascii="楷体_GB2312" w:hAnsi="楷体_GB2312" w:eastAsia="楷体_GB2312" w:cs="楷体_GB2312"/>
          <w:b/>
          <w:bCs/>
          <w:color w:val="auto"/>
          <w:sz w:val="28"/>
          <w:szCs w:val="28"/>
          <w:highlight w:val="none"/>
        </w:rPr>
        <w:t>营业执照、开户许可证、</w:t>
      </w:r>
      <w:r>
        <w:rPr>
          <w:rFonts w:hint="eastAsia" w:ascii="楷体_GB2312" w:hAnsi="楷体_GB2312" w:eastAsia="楷体_GB2312" w:cs="楷体_GB2312"/>
          <w:b/>
          <w:bCs/>
          <w:color w:val="auto"/>
          <w:sz w:val="28"/>
          <w:szCs w:val="28"/>
          <w:highlight w:val="none"/>
          <w:lang w:val="zh-CN"/>
        </w:rPr>
        <w:t>成品油经营许可证或危险化学品经营许可证、</w:t>
      </w:r>
      <w:r>
        <w:rPr>
          <w:rFonts w:hint="eastAsia" w:ascii="楷体_GB2312" w:hAnsi="楷体_GB2312" w:eastAsia="楷体_GB2312" w:cs="楷体_GB2312"/>
          <w:b/>
          <w:bCs/>
          <w:color w:val="auto"/>
          <w:sz w:val="28"/>
          <w:szCs w:val="28"/>
          <w:highlight w:val="none"/>
        </w:rPr>
        <w:t>法人身份证</w:t>
      </w:r>
      <w:r>
        <w:rPr>
          <w:rFonts w:hint="eastAsia" w:ascii="楷体_GB2312" w:hAnsi="楷体_GB2312" w:eastAsia="楷体_GB2312" w:cs="楷体_GB2312"/>
          <w:b/>
          <w:bCs/>
          <w:color w:val="auto"/>
          <w:sz w:val="28"/>
          <w:szCs w:val="28"/>
          <w:highlight w:val="none"/>
          <w:lang w:val="en-US" w:eastAsia="zh-CN"/>
        </w:rPr>
        <w:t>复印件或法人授权委托书、信誉截图、类似采购项目合同复印件</w:t>
      </w:r>
      <w:r>
        <w:rPr>
          <w:rFonts w:hint="eastAsia" w:ascii="楷体_GB2312" w:hAnsi="楷体_GB2312" w:eastAsia="楷体_GB2312" w:cs="楷体_GB2312"/>
          <w:color w:val="auto"/>
          <w:sz w:val="28"/>
          <w:szCs w:val="28"/>
          <w:highlight w:val="none"/>
        </w:rPr>
        <w:t>等；</w:t>
      </w:r>
    </w:p>
    <w:p w14:paraId="4E67C9C1">
      <w:pPr>
        <w:autoSpaceDE w:val="0"/>
        <w:autoSpaceDN w:val="0"/>
        <w:spacing w:line="460" w:lineRule="exact"/>
        <w:ind w:firstLine="560"/>
        <w:rPr>
          <w:rFonts w:ascii="楷体_GB2312" w:hAnsi="楷体_GB2312" w:eastAsia="楷体_GB2312" w:cs="楷体_GB2312"/>
          <w:color w:val="auto"/>
          <w:sz w:val="28"/>
          <w:szCs w:val="28"/>
          <w:highlight w:val="none"/>
        </w:rPr>
      </w:pPr>
      <w:r>
        <w:rPr>
          <w:rFonts w:hint="eastAsia" w:ascii="楷体_GB2312" w:hAnsi="楷体_GB2312" w:eastAsia="楷体_GB2312" w:cs="楷体_GB2312"/>
          <w:color w:val="auto"/>
          <w:sz w:val="28"/>
          <w:szCs w:val="28"/>
          <w:highlight w:val="none"/>
          <w:lang w:val="en-US" w:eastAsia="zh-CN"/>
        </w:rPr>
        <w:t>3</w:t>
      </w:r>
      <w:r>
        <w:rPr>
          <w:rFonts w:hint="eastAsia" w:ascii="楷体_GB2312" w:hAnsi="楷体_GB2312" w:eastAsia="楷体_GB2312" w:cs="楷体_GB2312"/>
          <w:color w:val="auto"/>
          <w:sz w:val="28"/>
          <w:szCs w:val="28"/>
          <w:highlight w:val="none"/>
        </w:rPr>
        <w:t>、</w:t>
      </w:r>
      <w:r>
        <w:rPr>
          <w:rFonts w:ascii="楷体_GB2312" w:hAnsi="楷体_GB2312" w:eastAsia="楷体_GB2312" w:cs="楷体_GB2312"/>
          <w:b/>
          <w:bCs/>
          <w:color w:val="auto"/>
          <w:sz w:val="28"/>
          <w:szCs w:val="28"/>
          <w:highlight w:val="none"/>
        </w:rPr>
        <w:t>我公司将根据报价情况按照最低价中标的原则（低于成本价除外）确定中标单位</w:t>
      </w:r>
      <w:r>
        <w:rPr>
          <w:rFonts w:ascii="楷体_GB2312" w:hAnsi="楷体_GB2312" w:eastAsia="楷体_GB2312" w:cs="楷体_GB2312"/>
          <w:color w:val="auto"/>
          <w:sz w:val="28"/>
          <w:szCs w:val="28"/>
          <w:highlight w:val="none"/>
        </w:rPr>
        <w:t>。</w:t>
      </w:r>
      <w:r>
        <w:rPr>
          <w:rFonts w:hint="eastAsia" w:ascii="楷体_GB2312" w:hAnsi="楷体_GB2312" w:eastAsia="楷体_GB2312" w:cs="楷体_GB2312"/>
          <w:b/>
          <w:bCs/>
          <w:color w:val="auto"/>
          <w:sz w:val="28"/>
          <w:szCs w:val="28"/>
          <w:highlight w:val="none"/>
          <w:lang w:eastAsia="zh-CN"/>
        </w:rPr>
        <w:t>如最低价相同的单位招标人有权依据综合竞谈情况选择供应商。</w:t>
      </w:r>
      <w:r>
        <w:rPr>
          <w:rFonts w:hint="eastAsia" w:ascii="楷体_GB2312" w:hAnsi="楷体_GB2312" w:eastAsia="楷体_GB2312" w:cs="楷体_GB2312"/>
          <w:color w:val="auto"/>
          <w:sz w:val="28"/>
          <w:szCs w:val="28"/>
          <w:highlight w:val="none"/>
          <w:lang w:eastAsia="zh-CN"/>
        </w:rPr>
        <w:t>竞谈</w:t>
      </w:r>
      <w:r>
        <w:rPr>
          <w:rFonts w:hint="eastAsia" w:ascii="楷体_GB2312" w:hAnsi="楷体_GB2312" w:eastAsia="楷体_GB2312" w:cs="楷体_GB2312"/>
          <w:color w:val="auto"/>
          <w:sz w:val="28"/>
          <w:szCs w:val="28"/>
          <w:highlight w:val="none"/>
        </w:rPr>
        <w:t>结果</w:t>
      </w:r>
      <w:r>
        <w:rPr>
          <w:rFonts w:ascii="楷体_GB2312" w:hAnsi="楷体_GB2312" w:eastAsia="楷体_GB2312" w:cs="楷体_GB2312"/>
          <w:color w:val="auto"/>
          <w:sz w:val="28"/>
          <w:szCs w:val="28"/>
          <w:highlight w:val="none"/>
        </w:rPr>
        <w:t>将在我公司网站</w:t>
      </w:r>
      <w:r>
        <w:rPr>
          <w:rFonts w:hint="eastAsia" w:ascii="楷体" w:hAnsi="楷体" w:eastAsia="楷体" w:cs="楷体"/>
          <w:color w:val="auto"/>
          <w:spacing w:val="-12"/>
          <w:sz w:val="29"/>
          <w:szCs w:val="29"/>
          <w:highlight w:val="none"/>
          <w:u w:val="none"/>
          <w:lang w:val="en-US" w:eastAsia="zh-CN"/>
        </w:rPr>
        <w:t>德达交建集团</w:t>
      </w:r>
      <w:r>
        <w:rPr>
          <w:rFonts w:ascii="楷体_GB2312" w:hAnsi="楷体_GB2312" w:eastAsia="楷体_GB2312" w:cs="楷体_GB2312"/>
          <w:color w:val="auto"/>
          <w:sz w:val="28"/>
          <w:szCs w:val="28"/>
          <w:highlight w:val="none"/>
        </w:rPr>
        <w:t>进行公示，公示期为</w:t>
      </w:r>
      <w:r>
        <w:rPr>
          <w:rFonts w:hint="eastAsia" w:ascii="楷体_GB2312" w:hAnsi="楷体_GB2312" w:eastAsia="楷体_GB2312" w:cs="楷体_GB2312"/>
          <w:color w:val="auto"/>
          <w:sz w:val="28"/>
          <w:szCs w:val="28"/>
          <w:highlight w:val="none"/>
        </w:rPr>
        <w:t>3天</w:t>
      </w:r>
      <w:r>
        <w:rPr>
          <w:rFonts w:ascii="楷体_GB2312" w:hAnsi="楷体_GB2312" w:eastAsia="楷体_GB2312" w:cs="楷体_GB2312"/>
          <w:color w:val="auto"/>
          <w:sz w:val="28"/>
          <w:szCs w:val="28"/>
          <w:highlight w:val="none"/>
        </w:rPr>
        <w:t>。如果此次</w:t>
      </w:r>
      <w:r>
        <w:rPr>
          <w:rFonts w:hint="eastAsia" w:ascii="楷体_GB2312" w:hAnsi="楷体_GB2312" w:eastAsia="楷体_GB2312" w:cs="楷体_GB2312"/>
          <w:color w:val="auto"/>
          <w:sz w:val="28"/>
          <w:szCs w:val="28"/>
          <w:highlight w:val="none"/>
          <w:lang w:eastAsia="zh-CN"/>
        </w:rPr>
        <w:t>竞谈</w:t>
      </w:r>
      <w:r>
        <w:rPr>
          <w:rFonts w:ascii="楷体_GB2312" w:hAnsi="楷体_GB2312" w:eastAsia="楷体_GB2312" w:cs="楷体_GB2312"/>
          <w:color w:val="auto"/>
          <w:sz w:val="28"/>
          <w:szCs w:val="28"/>
          <w:highlight w:val="none"/>
        </w:rPr>
        <w:t>未达到我公司</w:t>
      </w:r>
      <w:r>
        <w:rPr>
          <w:rFonts w:hint="eastAsia" w:ascii="楷体_GB2312" w:hAnsi="楷体_GB2312" w:eastAsia="楷体_GB2312" w:cs="楷体_GB2312"/>
          <w:color w:val="auto"/>
          <w:sz w:val="28"/>
          <w:szCs w:val="28"/>
          <w:highlight w:val="none"/>
          <w:lang w:eastAsia="zh-CN"/>
        </w:rPr>
        <w:t>竞谈</w:t>
      </w:r>
      <w:r>
        <w:rPr>
          <w:rFonts w:ascii="楷体_GB2312" w:hAnsi="楷体_GB2312" w:eastAsia="楷体_GB2312" w:cs="楷体_GB2312"/>
          <w:color w:val="auto"/>
          <w:sz w:val="28"/>
          <w:szCs w:val="28"/>
          <w:highlight w:val="none"/>
        </w:rPr>
        <w:t>的目的，我公司可否决全部</w:t>
      </w:r>
      <w:r>
        <w:rPr>
          <w:rFonts w:hint="eastAsia" w:ascii="楷体_GB2312" w:hAnsi="楷体_GB2312" w:eastAsia="楷体_GB2312" w:cs="楷体_GB2312"/>
          <w:color w:val="auto"/>
          <w:sz w:val="28"/>
          <w:szCs w:val="28"/>
          <w:highlight w:val="none"/>
          <w:lang w:eastAsia="zh-CN"/>
        </w:rPr>
        <w:t>竞谈</w:t>
      </w:r>
      <w:r>
        <w:rPr>
          <w:rFonts w:ascii="楷体_GB2312" w:hAnsi="楷体_GB2312" w:eastAsia="楷体_GB2312" w:cs="楷体_GB2312"/>
          <w:color w:val="auto"/>
          <w:sz w:val="28"/>
          <w:szCs w:val="28"/>
          <w:highlight w:val="none"/>
        </w:rPr>
        <w:t>，有权另行组织</w:t>
      </w:r>
      <w:r>
        <w:rPr>
          <w:rFonts w:hint="eastAsia" w:ascii="楷体_GB2312" w:hAnsi="楷体_GB2312" w:eastAsia="楷体_GB2312" w:cs="楷体_GB2312"/>
          <w:color w:val="auto"/>
          <w:sz w:val="28"/>
          <w:szCs w:val="28"/>
          <w:highlight w:val="none"/>
          <w:lang w:eastAsia="zh-CN"/>
        </w:rPr>
        <w:t>竞谈</w:t>
      </w:r>
      <w:r>
        <w:rPr>
          <w:rFonts w:ascii="楷体_GB2312" w:hAnsi="楷体_GB2312" w:eastAsia="楷体_GB2312" w:cs="楷体_GB2312"/>
          <w:color w:val="auto"/>
          <w:sz w:val="28"/>
          <w:szCs w:val="28"/>
          <w:highlight w:val="none"/>
        </w:rPr>
        <w:t>。</w:t>
      </w:r>
    </w:p>
    <w:p w14:paraId="3FD520D3">
      <w:pPr>
        <w:autoSpaceDE w:val="0"/>
        <w:autoSpaceDN w:val="0"/>
        <w:adjustRightInd w:val="0"/>
        <w:spacing w:line="460" w:lineRule="exact"/>
        <w:ind w:firstLine="562" w:firstLineChars="200"/>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十、不平衡报价的处理</w:t>
      </w:r>
    </w:p>
    <w:p w14:paraId="0042A580">
      <w:pPr>
        <w:autoSpaceDE w:val="0"/>
        <w:autoSpaceDN w:val="0"/>
        <w:spacing w:line="460" w:lineRule="exact"/>
        <w:ind w:firstLine="560"/>
        <w:rPr>
          <w:rFonts w:hint="eastAsia" w:ascii="楷体_GB2312" w:hAnsi="楷体_GB2312" w:eastAsia="楷体_GB2312" w:cs="楷体_GB2312"/>
          <w:color w:val="auto"/>
          <w:kern w:val="0"/>
          <w:sz w:val="28"/>
          <w:szCs w:val="28"/>
          <w:highlight w:val="none"/>
          <w:lang w:val="en-US" w:eastAsia="zh-CN"/>
        </w:rPr>
      </w:pPr>
      <w:r>
        <w:rPr>
          <w:rFonts w:ascii="楷体_GB2312" w:hAnsi="楷体_GB2312" w:eastAsia="楷体_GB2312" w:cs="楷体_GB2312"/>
          <w:color w:val="auto"/>
          <w:sz w:val="28"/>
          <w:szCs w:val="28"/>
          <w:highlight w:val="none"/>
        </w:rPr>
        <w:t>采购人在对拟中标单位报价清单进行审核过程中，如发现其报价清单存在不平衡报价的情况，有权要求拟中标单位在保持报价总价不变的情况下对不合理的清单单价进行调整。调整后的清单将作为签订合同的一部分。拟中标单位如拒绝调整，采购人有权取消其中标人资格</w:t>
      </w:r>
      <w:r>
        <w:rPr>
          <w:rFonts w:ascii="楷体_GB2312" w:hAnsi="楷体_GB2312" w:eastAsia="楷体_GB2312" w:cs="楷体_GB2312"/>
          <w:bCs/>
          <w:color w:val="auto"/>
          <w:sz w:val="28"/>
          <w:szCs w:val="28"/>
          <w:highlight w:val="none"/>
        </w:rPr>
        <w:t>。</w:t>
      </w:r>
    </w:p>
    <w:p w14:paraId="0840AB84">
      <w:pPr>
        <w:spacing w:line="480" w:lineRule="exact"/>
        <w:rPr>
          <w:rFonts w:ascii="楷体_GB2312" w:hAnsi="楷体_GB2312" w:eastAsia="楷体_GB2312" w:cs="楷体_GB2312"/>
          <w:bCs/>
          <w:color w:val="auto"/>
          <w:sz w:val="28"/>
          <w:szCs w:val="28"/>
          <w:highlight w:val="none"/>
        </w:rPr>
      </w:pPr>
      <w:r>
        <w:rPr>
          <w:rFonts w:hint="eastAsia" w:ascii="楷体_GB2312" w:hAnsi="楷体_GB2312" w:eastAsia="楷体_GB2312" w:cs="楷体_GB2312"/>
          <w:color w:val="auto"/>
          <w:kern w:val="0"/>
          <w:sz w:val="28"/>
          <w:szCs w:val="28"/>
          <w:highlight w:val="none"/>
          <w:lang w:val="en-US" w:eastAsia="zh-CN"/>
        </w:rPr>
        <w:t>报名电话：15153439981</w:t>
      </w:r>
    </w:p>
    <w:p w14:paraId="4EE24CCD">
      <w:pPr>
        <w:spacing w:line="480" w:lineRule="exact"/>
        <w:jc w:val="right"/>
        <w:rPr>
          <w:rFonts w:hint="default" w:ascii="楷体_GB2312" w:hAnsi="楷体_GB2312" w:eastAsia="楷体_GB2312" w:cs="楷体_GB2312"/>
          <w:bCs/>
          <w:color w:val="auto"/>
          <w:sz w:val="28"/>
          <w:szCs w:val="28"/>
          <w:highlight w:val="none"/>
          <w:lang w:val="en-US" w:eastAsia="zh-CN"/>
        </w:rPr>
      </w:pPr>
      <w:r>
        <w:rPr>
          <w:rFonts w:hint="eastAsia" w:ascii="楷体_GB2312" w:hAnsi="楷体_GB2312" w:eastAsia="楷体_GB2312" w:cs="楷体_GB2312"/>
          <w:bCs/>
          <w:color w:val="auto"/>
          <w:sz w:val="28"/>
          <w:szCs w:val="28"/>
          <w:highlight w:val="none"/>
        </w:rPr>
        <w:t xml:space="preserve">              </w:t>
      </w:r>
      <w:r>
        <w:rPr>
          <w:rFonts w:hint="eastAsia" w:ascii="楷体_GB2312" w:hAnsi="楷体_GB2312" w:eastAsia="楷体_GB2312" w:cs="楷体_GB2312"/>
          <w:bCs/>
          <w:color w:val="auto"/>
          <w:sz w:val="28"/>
          <w:szCs w:val="28"/>
          <w:highlight w:val="none"/>
          <w:lang w:val="en-US" w:eastAsia="zh-CN"/>
        </w:rPr>
        <w:t>德达交通建设发展集团有限公司</w:t>
      </w:r>
    </w:p>
    <w:p w14:paraId="6080FC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宋体"/>
          <w:b/>
          <w:bCs/>
          <w:color w:val="auto"/>
          <w:sz w:val="24"/>
          <w:szCs w:val="24"/>
          <w:highlight w:val="none"/>
          <w:lang w:val="en-US" w:eastAsia="zh-CN"/>
        </w:rPr>
      </w:pPr>
      <w:r>
        <w:rPr>
          <w:rFonts w:hint="eastAsia" w:ascii="楷体_GB2312" w:hAnsi="楷体_GB2312" w:eastAsia="楷体_GB2312" w:cs="楷体_GB2312"/>
          <w:bCs/>
          <w:color w:val="auto"/>
          <w:sz w:val="28"/>
          <w:szCs w:val="28"/>
          <w:highlight w:val="none"/>
          <w:lang w:val="en-US" w:eastAsia="zh-CN"/>
        </w:rPr>
        <w:t xml:space="preserve">                                 2025</w:t>
      </w:r>
      <w:r>
        <w:rPr>
          <w:rFonts w:hint="eastAsia" w:ascii="楷体_GB2312" w:hAnsi="楷体_GB2312" w:eastAsia="楷体_GB2312" w:cs="楷体_GB2312"/>
          <w:bCs/>
          <w:color w:val="auto"/>
          <w:sz w:val="28"/>
          <w:szCs w:val="28"/>
          <w:highlight w:val="none"/>
        </w:rPr>
        <w:t>年</w:t>
      </w:r>
      <w:r>
        <w:rPr>
          <w:rFonts w:hint="eastAsia" w:ascii="楷体_GB2312" w:hAnsi="楷体_GB2312" w:eastAsia="楷体_GB2312" w:cs="楷体_GB2312"/>
          <w:bCs/>
          <w:color w:val="auto"/>
          <w:sz w:val="28"/>
          <w:szCs w:val="28"/>
          <w:highlight w:val="none"/>
          <w:lang w:val="en-US" w:eastAsia="zh-CN"/>
        </w:rPr>
        <w:t>3</w:t>
      </w:r>
      <w:r>
        <w:rPr>
          <w:rFonts w:hint="eastAsia" w:ascii="楷体_GB2312" w:hAnsi="楷体_GB2312" w:eastAsia="楷体_GB2312" w:cs="楷体_GB2312"/>
          <w:bCs/>
          <w:color w:val="auto"/>
          <w:sz w:val="28"/>
          <w:szCs w:val="28"/>
          <w:highlight w:val="none"/>
        </w:rPr>
        <w:t>月</w:t>
      </w:r>
      <w:r>
        <w:rPr>
          <w:rFonts w:hint="eastAsia" w:ascii="楷体_GB2312" w:hAnsi="楷体_GB2312" w:eastAsia="楷体_GB2312" w:cs="楷体_GB2312"/>
          <w:bCs/>
          <w:color w:val="auto"/>
          <w:sz w:val="28"/>
          <w:szCs w:val="28"/>
          <w:highlight w:val="none"/>
          <w:lang w:val="en-US" w:eastAsia="zh-CN"/>
        </w:rPr>
        <w:t>6</w:t>
      </w:r>
      <w:r>
        <w:rPr>
          <w:rFonts w:hint="eastAsia" w:ascii="楷体_GB2312" w:hAnsi="楷体_GB2312" w:eastAsia="楷体_GB2312" w:cs="楷体_GB2312"/>
          <w:bCs/>
          <w:color w:val="auto"/>
          <w:sz w:val="28"/>
          <w:szCs w:val="28"/>
          <w:highlight w:val="none"/>
        </w:rPr>
        <w:t>日</w:t>
      </w:r>
      <w:r>
        <w:rPr>
          <w:rFonts w:hint="eastAsia" w:eastAsia="宋体"/>
          <w:b/>
          <w:bCs/>
          <w:color w:val="auto"/>
          <w:sz w:val="24"/>
          <w:szCs w:val="24"/>
          <w:highlight w:val="none"/>
          <w:lang w:val="en-US" w:eastAsia="zh-CN"/>
        </w:rPr>
        <w:br w:type="page"/>
      </w:r>
    </w:p>
    <w:p w14:paraId="3A8A0EC8">
      <w:pPr>
        <w:spacing w:before="128" w:line="223" w:lineRule="auto"/>
        <w:rPr>
          <w:rFonts w:hint="eastAsia" w:eastAsia="宋体"/>
          <w:b/>
          <w:bCs/>
          <w:color w:val="auto"/>
          <w:sz w:val="24"/>
          <w:szCs w:val="24"/>
          <w:highlight w:val="none"/>
          <w:lang w:val="en-US" w:eastAsia="zh-CN"/>
        </w:rPr>
      </w:pPr>
      <w:r>
        <w:rPr>
          <w:rFonts w:hint="eastAsia" w:eastAsia="宋体"/>
          <w:b/>
          <w:bCs/>
          <w:color w:val="auto"/>
          <w:sz w:val="24"/>
          <w:szCs w:val="24"/>
          <w:highlight w:val="none"/>
          <w:lang w:val="en-US" w:eastAsia="zh-CN"/>
        </w:rPr>
        <w:t>附表1：</w:t>
      </w:r>
    </w:p>
    <w:p w14:paraId="21CD0C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b/>
          <w:color w:val="auto"/>
          <w:sz w:val="36"/>
          <w:szCs w:val="36"/>
          <w:highlight w:val="none"/>
          <w:lang w:val="en-US" w:eastAsia="zh-CN"/>
        </w:rPr>
      </w:pPr>
    </w:p>
    <w:p w14:paraId="2957A7B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b/>
          <w:color w:val="auto"/>
          <w:sz w:val="36"/>
          <w:szCs w:val="36"/>
          <w:highlight w:val="none"/>
          <w:lang w:val="en-US" w:eastAsia="zh-CN"/>
        </w:rPr>
      </w:pPr>
    </w:p>
    <w:p w14:paraId="7375BC84">
      <w:pPr>
        <w:jc w:val="center"/>
        <w:rPr>
          <w:rFonts w:hint="default" w:ascii="楷体_GB2312" w:hAnsi="楷体_GB2312" w:eastAsia="楷体_GB2312" w:cs="楷体_GB2312"/>
          <w:b/>
          <w:color w:val="auto"/>
          <w:sz w:val="36"/>
          <w:szCs w:val="36"/>
          <w:highlight w:val="none"/>
          <w:lang w:val="en-US" w:eastAsia="zh-CN"/>
        </w:rPr>
      </w:pPr>
      <w:r>
        <w:rPr>
          <w:rFonts w:hint="eastAsia" w:ascii="楷体_GB2312" w:hAnsi="楷体_GB2312" w:eastAsia="楷体_GB2312" w:cs="楷体_GB2312"/>
          <w:b/>
          <w:color w:val="auto"/>
          <w:sz w:val="36"/>
          <w:szCs w:val="36"/>
          <w:highlight w:val="none"/>
          <w:lang w:val="en-US" w:eastAsia="zh-CN"/>
        </w:rPr>
        <w:t>高青至武城高速商河至平原段工程</w:t>
      </w:r>
    </w:p>
    <w:p w14:paraId="088885A6">
      <w:pPr>
        <w:jc w:val="center"/>
        <w:rPr>
          <w:rFonts w:hint="eastAsia" w:eastAsia="宋体"/>
          <w:color w:val="auto"/>
          <w:highlight w:val="none"/>
          <w:lang w:val="en-US" w:eastAsia="zh-CN"/>
        </w:rPr>
      </w:pPr>
      <w:r>
        <w:rPr>
          <w:rFonts w:hint="eastAsia" w:ascii="楷体_GB2312" w:hAnsi="楷体_GB2312" w:eastAsia="楷体_GB2312" w:cs="楷体_GB2312"/>
          <w:b/>
          <w:color w:val="auto"/>
          <w:sz w:val="36"/>
          <w:szCs w:val="36"/>
          <w:highlight w:val="none"/>
          <w:lang w:val="en-US" w:eastAsia="zh-CN"/>
        </w:rPr>
        <w:t>柴油采购项目竞谈报价（首轮）</w:t>
      </w:r>
    </w:p>
    <w:p w14:paraId="5161C73F">
      <w:pPr>
        <w:keepNext w:val="0"/>
        <w:keepLines w:val="0"/>
        <w:pageBreakBefore w:val="0"/>
        <w:numPr>
          <w:ilvl w:val="0"/>
          <w:numId w:val="0"/>
        </w:numPr>
        <w:kinsoku/>
        <w:wordWrap/>
        <w:overflowPunct/>
        <w:topLinePunct w:val="0"/>
        <w:bidi w:val="0"/>
        <w:snapToGrid/>
        <w:spacing w:line="470" w:lineRule="exact"/>
        <w:jc w:val="right"/>
        <w:rPr>
          <w:rFonts w:hint="eastAsia" w:asciiTheme="minorEastAsia" w:hAnsiTheme="minorEastAsia" w:eastAsiaTheme="minorEastAsia" w:cstheme="minorEastAsia"/>
          <w:b/>
          <w:color w:val="auto"/>
          <w:kern w:val="0"/>
          <w:sz w:val="28"/>
          <w:szCs w:val="28"/>
          <w:highlight w:val="none"/>
          <w:lang w:val="en-US" w:eastAsia="zh-CN" w:bidi="ar-SA"/>
        </w:rPr>
      </w:pPr>
      <w:r>
        <w:rPr>
          <w:rFonts w:hint="eastAsia" w:ascii="宋体" w:eastAsia="宋体" w:cs="宋体"/>
          <w:color w:val="auto"/>
          <w:kern w:val="0"/>
          <w:sz w:val="24"/>
          <w:szCs w:val="24"/>
          <w:highlight w:val="none"/>
        </w:rPr>
        <w:t>货币单位:人民币（元）</w:t>
      </w:r>
    </w:p>
    <w:tbl>
      <w:tblPr>
        <w:tblStyle w:val="8"/>
        <w:tblW w:w="89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1"/>
        <w:gridCol w:w="1594"/>
        <w:gridCol w:w="680"/>
        <w:gridCol w:w="967"/>
        <w:gridCol w:w="2395"/>
        <w:gridCol w:w="2128"/>
        <w:gridCol w:w="54"/>
      </w:tblGrid>
      <w:tr w14:paraId="2CB3A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 w:type="dxa"/>
          <w:trHeight w:val="810" w:hRule="atLeast"/>
        </w:trPr>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E8B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子目号</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5D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子 目 名 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1B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单位</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1EA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数量</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2A5D">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较市场挂牌价格下浮单价（元/升）</w:t>
            </w: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2F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备注</w:t>
            </w:r>
          </w:p>
        </w:tc>
      </w:tr>
      <w:tr w14:paraId="6013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 w:type="dxa"/>
          <w:trHeight w:val="810" w:hRule="atLeast"/>
        </w:trPr>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205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1D6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柴油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AED8">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0872">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130000</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8900">
            <w:pPr>
              <w:jc w:val="center"/>
              <w:rPr>
                <w:rFonts w:hint="eastAsia" w:ascii="宋体" w:hAnsi="宋体" w:eastAsia="宋体" w:cs="宋体"/>
                <w:i w:val="0"/>
                <w:iCs w:val="0"/>
                <w:color w:val="auto"/>
                <w:sz w:val="24"/>
                <w:szCs w:val="24"/>
                <w:highlight w:val="none"/>
                <w:u w:val="none"/>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D9EC">
            <w:pPr>
              <w:jc w:val="center"/>
              <w:rPr>
                <w:rFonts w:hint="eastAsia" w:ascii="宋体" w:hAnsi="宋体" w:eastAsia="宋体" w:cs="宋体"/>
                <w:i w:val="0"/>
                <w:iCs w:val="0"/>
                <w:color w:val="auto"/>
                <w:sz w:val="24"/>
                <w:szCs w:val="24"/>
                <w:highlight w:val="none"/>
                <w:u w:val="none"/>
              </w:rPr>
            </w:pPr>
          </w:p>
        </w:tc>
      </w:tr>
      <w:tr w14:paraId="6D833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 w:type="dxa"/>
          <w:trHeight w:val="810" w:hRule="atLeast"/>
        </w:trPr>
        <w:tc>
          <w:tcPr>
            <w:tcW w:w="11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4F80765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1830">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E8BD">
            <w:pPr>
              <w:jc w:val="center"/>
              <w:rPr>
                <w:rFonts w:hint="eastAsia" w:ascii="宋体" w:hAnsi="宋体" w:eastAsia="宋体" w:cs="宋体"/>
                <w:i w:val="0"/>
                <w:iCs w:val="0"/>
                <w:color w:val="auto"/>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1732">
            <w:pPr>
              <w:jc w:val="center"/>
              <w:rPr>
                <w:rFonts w:hint="eastAsia" w:ascii="宋体" w:hAnsi="宋体" w:eastAsia="宋体" w:cs="宋体"/>
                <w:i w:val="0"/>
                <w:iCs w:val="0"/>
                <w:color w:val="auto"/>
                <w:sz w:val="24"/>
                <w:szCs w:val="24"/>
                <w:highlight w:val="none"/>
                <w:u w:val="none"/>
              </w:rPr>
            </w:pP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76B2">
            <w:pPr>
              <w:jc w:val="center"/>
              <w:rPr>
                <w:rFonts w:hint="eastAsia" w:ascii="宋体" w:hAnsi="宋体" w:eastAsia="宋体" w:cs="宋体"/>
                <w:i w:val="0"/>
                <w:iCs w:val="0"/>
                <w:color w:val="auto"/>
                <w:sz w:val="24"/>
                <w:szCs w:val="24"/>
                <w:highlight w:val="none"/>
                <w:u w:val="none"/>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D103">
            <w:pPr>
              <w:jc w:val="center"/>
              <w:rPr>
                <w:rFonts w:hint="eastAsia" w:ascii="宋体" w:hAnsi="宋体" w:eastAsia="宋体" w:cs="宋体"/>
                <w:i w:val="0"/>
                <w:iCs w:val="0"/>
                <w:color w:val="auto"/>
                <w:sz w:val="24"/>
                <w:szCs w:val="24"/>
                <w:highlight w:val="none"/>
                <w:u w:val="none"/>
              </w:rPr>
            </w:pPr>
          </w:p>
        </w:tc>
      </w:tr>
      <w:tr w14:paraId="1B299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4" w:type="dxa"/>
          <w:trHeight w:val="1152" w:hRule="atLeast"/>
        </w:trPr>
        <w:tc>
          <w:tcPr>
            <w:tcW w:w="11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8D6AB6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8985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EB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DE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7B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2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6B2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61189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8929" w:type="dxa"/>
            <w:gridSpan w:val="7"/>
            <w:tcBorders>
              <w:top w:val="single" w:color="000000" w:sz="4" w:space="0"/>
              <w:left w:val="single" w:color="000000" w:sz="8" w:space="0"/>
              <w:bottom w:val="single" w:color="000000" w:sz="4" w:space="0"/>
              <w:right w:val="single" w:color="000000" w:sz="4" w:space="0"/>
            </w:tcBorders>
            <w:shd w:val="clear" w:color="auto" w:fill="auto"/>
            <w:vAlign w:val="center"/>
          </w:tcPr>
          <w:p w14:paraId="4924D21A">
            <w:pPr>
              <w:keepNext w:val="0"/>
              <w:keepLines w:val="0"/>
              <w:widowControl/>
              <w:suppressLineNumbers w:val="0"/>
              <w:jc w:val="center"/>
              <w:textAlignment w:val="center"/>
              <w:rPr>
                <w:rFonts w:hint="default" w:ascii="宋体" w:hAnsi="宋体" w:eastAsia="宋体" w:cs="宋体"/>
                <w:i w:val="0"/>
                <w:iCs w:val="0"/>
                <w:snapToGrid w:val="0"/>
                <w:color w:val="auto"/>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注：上述投标单价为落地综合单</w:t>
            </w:r>
            <w:r>
              <w:rPr>
                <w:rFonts w:hint="default" w:ascii="仿宋_GB2312" w:hAnsi="宋体" w:eastAsia="仿宋_GB2312" w:cs="仿宋_GB2312"/>
                <w:i w:val="0"/>
                <w:iCs w:val="0"/>
                <w:color w:val="000000"/>
                <w:kern w:val="0"/>
                <w:sz w:val="24"/>
                <w:szCs w:val="24"/>
                <w:highlight w:val="none"/>
                <w:u w:val="none"/>
                <w:lang w:val="en-US" w:eastAsia="zh-CN" w:bidi="ar"/>
              </w:rPr>
              <w:t>价，包括材料、</w:t>
            </w:r>
            <w:r>
              <w:rPr>
                <w:rFonts w:hint="eastAsia" w:ascii="仿宋_GB2312" w:hAnsi="宋体" w:eastAsia="仿宋_GB2312" w:cs="仿宋_GB2312"/>
                <w:i w:val="0"/>
                <w:iCs w:val="0"/>
                <w:color w:val="000000"/>
                <w:kern w:val="0"/>
                <w:sz w:val="24"/>
                <w:szCs w:val="24"/>
                <w:highlight w:val="none"/>
                <w:u w:val="none"/>
                <w:lang w:val="en-US" w:eastAsia="zh-CN" w:bidi="ar"/>
              </w:rPr>
              <w:t>送至施工现场的运输费</w:t>
            </w:r>
            <w:r>
              <w:rPr>
                <w:rFonts w:hint="default" w:ascii="仿宋_GB2312" w:hAnsi="宋体" w:eastAsia="仿宋_GB2312" w:cs="仿宋_GB2312"/>
                <w:i w:val="0"/>
                <w:iCs w:val="0"/>
                <w:color w:val="000000"/>
                <w:kern w:val="0"/>
                <w:sz w:val="24"/>
                <w:szCs w:val="24"/>
                <w:highlight w:val="none"/>
                <w:u w:val="none"/>
                <w:lang w:val="en-US" w:eastAsia="zh-CN" w:bidi="ar"/>
              </w:rPr>
              <w:t>及其他费用，最终结算数量以现场收料单标注为准。</w:t>
            </w:r>
          </w:p>
        </w:tc>
      </w:tr>
    </w:tbl>
    <w:p w14:paraId="0AC104C7">
      <w:pPr>
        <w:keepNext w:val="0"/>
        <w:keepLines w:val="0"/>
        <w:pageBreakBefore w:val="0"/>
        <w:kinsoku/>
        <w:wordWrap/>
        <w:overflowPunct/>
        <w:topLinePunct w:val="0"/>
        <w:autoSpaceDE/>
        <w:autoSpaceDN/>
        <w:bidi w:val="0"/>
        <w:adjustRightInd/>
        <w:snapToGrid/>
        <w:spacing w:afterLines="50" w:line="440" w:lineRule="exact"/>
        <w:jc w:val="center"/>
        <w:textAlignment w:val="auto"/>
        <w:rPr>
          <w:rFonts w:hint="eastAsia" w:asciiTheme="minorEastAsia" w:hAnsiTheme="minorEastAsia" w:eastAsiaTheme="minorEastAsia" w:cstheme="minorEastAsia"/>
          <w:b/>
          <w:color w:val="auto"/>
          <w:kern w:val="0"/>
          <w:sz w:val="28"/>
          <w:szCs w:val="28"/>
          <w:highlight w:val="none"/>
          <w:lang w:val="en-US" w:eastAsia="zh-CN" w:bidi="ar-SA"/>
        </w:rPr>
      </w:pPr>
    </w:p>
    <w:p w14:paraId="62A1750D">
      <w:pPr>
        <w:spacing w:line="620" w:lineRule="exact"/>
        <w:ind w:firstLine="3935" w:firstLineChars="1400"/>
        <w:rPr>
          <w:rFonts w:hint="eastAsia" w:ascii="楷体_GB2312" w:hAnsi="楷体_GB2312" w:eastAsia="楷体_GB2312" w:cs="楷体_GB2312"/>
          <w:b/>
          <w:bCs/>
          <w:color w:val="auto"/>
          <w:sz w:val="28"/>
          <w:szCs w:val="28"/>
          <w:highlight w:val="none"/>
          <w:lang w:eastAsia="zh-CN"/>
        </w:rPr>
      </w:pPr>
    </w:p>
    <w:p w14:paraId="45B36815">
      <w:pPr>
        <w:spacing w:line="620" w:lineRule="exact"/>
        <w:ind w:firstLine="3935" w:firstLineChars="1400"/>
        <w:rPr>
          <w:rFonts w:hint="eastAsia" w:ascii="楷体_GB2312" w:hAnsi="楷体_GB2312" w:eastAsia="楷体_GB2312" w:cs="楷体_GB2312"/>
          <w:b/>
          <w:bCs/>
          <w:color w:val="auto"/>
          <w:sz w:val="28"/>
          <w:szCs w:val="28"/>
          <w:highlight w:val="none"/>
          <w:lang w:eastAsia="zh-CN"/>
        </w:rPr>
      </w:pPr>
    </w:p>
    <w:p w14:paraId="4C11B9A6">
      <w:pPr>
        <w:spacing w:line="480" w:lineRule="exact"/>
        <w:jc w:val="right"/>
        <w:rPr>
          <w:rFonts w:hint="default" w:ascii="楷体_GB2312" w:hAnsi="楷体_GB2312" w:eastAsia="楷体_GB2312" w:cs="楷体_GB2312"/>
          <w:bCs/>
          <w:color w:val="auto"/>
          <w:sz w:val="28"/>
          <w:szCs w:val="28"/>
          <w:highlight w:val="none"/>
          <w:lang w:val="en-US" w:eastAsia="zh-CN"/>
        </w:rPr>
      </w:pPr>
      <w:r>
        <w:rPr>
          <w:rFonts w:hint="eastAsia" w:ascii="楷体_GB2312" w:hAnsi="楷体_GB2312" w:eastAsia="楷体_GB2312" w:cs="楷体_GB2312"/>
          <w:bCs/>
          <w:color w:val="auto"/>
          <w:sz w:val="28"/>
          <w:szCs w:val="28"/>
          <w:highlight w:val="none"/>
        </w:rPr>
        <w:t xml:space="preserve">              </w:t>
      </w:r>
      <w:r>
        <w:rPr>
          <w:rFonts w:hint="eastAsia" w:ascii="楷体_GB2312" w:hAnsi="楷体_GB2312" w:eastAsia="楷体_GB2312" w:cs="楷体_GB2312"/>
          <w:bCs/>
          <w:color w:val="auto"/>
          <w:sz w:val="28"/>
          <w:szCs w:val="28"/>
          <w:highlight w:val="none"/>
          <w:lang w:val="en-US" w:eastAsia="zh-CN"/>
        </w:rPr>
        <w:t>德达交通建设发展集团有限公司</w:t>
      </w:r>
    </w:p>
    <w:p w14:paraId="50717B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hAnsi="楷体_GB2312" w:eastAsia="楷体_GB2312" w:cs="楷体_GB2312"/>
          <w:bCs/>
          <w:color w:val="auto"/>
          <w:sz w:val="28"/>
          <w:szCs w:val="28"/>
          <w:highlight w:val="none"/>
        </w:rPr>
      </w:pPr>
      <w:r>
        <w:rPr>
          <w:rFonts w:hint="eastAsia" w:ascii="楷体_GB2312" w:hAnsi="楷体_GB2312" w:eastAsia="楷体_GB2312" w:cs="楷体_GB2312"/>
          <w:bCs/>
          <w:color w:val="auto"/>
          <w:sz w:val="28"/>
          <w:szCs w:val="28"/>
          <w:highlight w:val="none"/>
          <w:lang w:val="en-US" w:eastAsia="zh-CN"/>
        </w:rPr>
        <w:t xml:space="preserve">                                 2025</w:t>
      </w:r>
      <w:r>
        <w:rPr>
          <w:rFonts w:hint="eastAsia" w:ascii="楷体_GB2312" w:hAnsi="楷体_GB2312" w:eastAsia="楷体_GB2312" w:cs="楷体_GB2312"/>
          <w:bCs/>
          <w:color w:val="auto"/>
          <w:sz w:val="28"/>
          <w:szCs w:val="28"/>
          <w:highlight w:val="none"/>
        </w:rPr>
        <w:t>年</w:t>
      </w:r>
      <w:r>
        <w:rPr>
          <w:rFonts w:hint="eastAsia" w:ascii="楷体_GB2312" w:hAnsi="楷体_GB2312" w:eastAsia="楷体_GB2312" w:cs="楷体_GB2312"/>
          <w:bCs/>
          <w:color w:val="auto"/>
          <w:sz w:val="28"/>
          <w:szCs w:val="28"/>
          <w:highlight w:val="none"/>
          <w:lang w:val="en-US" w:eastAsia="zh-CN"/>
        </w:rPr>
        <w:t>3</w:t>
      </w:r>
      <w:r>
        <w:rPr>
          <w:rFonts w:hint="eastAsia" w:ascii="楷体_GB2312" w:hAnsi="楷体_GB2312" w:eastAsia="楷体_GB2312" w:cs="楷体_GB2312"/>
          <w:bCs/>
          <w:color w:val="auto"/>
          <w:sz w:val="28"/>
          <w:szCs w:val="28"/>
          <w:highlight w:val="none"/>
        </w:rPr>
        <w:t>月</w:t>
      </w:r>
      <w:r>
        <w:rPr>
          <w:rFonts w:hint="eastAsia" w:ascii="楷体_GB2312" w:hAnsi="楷体_GB2312" w:eastAsia="楷体_GB2312" w:cs="楷体_GB2312"/>
          <w:bCs/>
          <w:color w:val="auto"/>
          <w:sz w:val="28"/>
          <w:szCs w:val="28"/>
          <w:highlight w:val="none"/>
          <w:lang w:val="en-US" w:eastAsia="zh-CN"/>
        </w:rPr>
        <w:t>6</w:t>
      </w:r>
      <w:r>
        <w:rPr>
          <w:rFonts w:hint="eastAsia" w:ascii="楷体_GB2312" w:hAnsi="楷体_GB2312" w:eastAsia="楷体_GB2312" w:cs="楷体_GB2312"/>
          <w:bCs/>
          <w:color w:val="auto"/>
          <w:sz w:val="28"/>
          <w:szCs w:val="28"/>
          <w:highlight w:val="none"/>
        </w:rPr>
        <w:t>日</w:t>
      </w:r>
    </w:p>
    <w:p w14:paraId="6BE80183">
      <w:pPr>
        <w:keepNext w:val="0"/>
        <w:keepLines w:val="0"/>
        <w:pageBreakBefore w:val="0"/>
        <w:kinsoku/>
        <w:wordWrap/>
        <w:overflowPunct/>
        <w:topLinePunct w:val="0"/>
        <w:autoSpaceDE/>
        <w:autoSpaceDN/>
        <w:bidi w:val="0"/>
        <w:adjustRightInd/>
        <w:snapToGrid/>
        <w:spacing w:afterLines="50" w:line="440" w:lineRule="exact"/>
        <w:jc w:val="center"/>
        <w:textAlignment w:val="auto"/>
        <w:rPr>
          <w:rFonts w:hint="eastAsia" w:asciiTheme="minorEastAsia" w:hAnsiTheme="minorEastAsia" w:eastAsiaTheme="minorEastAsia" w:cstheme="minorEastAsia"/>
          <w:b/>
          <w:color w:val="auto"/>
          <w:kern w:val="0"/>
          <w:sz w:val="28"/>
          <w:szCs w:val="28"/>
          <w:highlight w:val="none"/>
          <w:lang w:val="en-US" w:eastAsia="zh-CN" w:bidi="ar-SA"/>
        </w:rPr>
      </w:pPr>
    </w:p>
    <w:p w14:paraId="3F5C6439">
      <w:pPr>
        <w:spacing w:before="128" w:line="223" w:lineRule="auto"/>
        <w:rPr>
          <w:color w:val="auto"/>
          <w:highlight w:val="none"/>
        </w:rPr>
      </w:pPr>
    </w:p>
    <w:p w14:paraId="4703318C">
      <w:pPr>
        <w:spacing w:before="128" w:line="223" w:lineRule="auto"/>
        <w:rPr>
          <w:color w:val="auto"/>
          <w:highlight w:val="none"/>
        </w:rPr>
      </w:pPr>
    </w:p>
    <w:p w14:paraId="5D6B41D9">
      <w:pPr>
        <w:spacing w:before="128" w:line="223" w:lineRule="auto"/>
        <w:rPr>
          <w:color w:val="auto"/>
          <w:highlight w:val="none"/>
        </w:rPr>
      </w:pPr>
    </w:p>
    <w:p w14:paraId="031233E6">
      <w:pPr>
        <w:spacing w:before="128" w:line="223" w:lineRule="auto"/>
        <w:rPr>
          <w:color w:val="auto"/>
          <w:highlight w:val="none"/>
        </w:rPr>
      </w:pPr>
    </w:p>
    <w:p w14:paraId="59FCA0E9">
      <w:pPr>
        <w:rPr>
          <w:color w:val="auto"/>
          <w:highlight w:val="none"/>
        </w:rPr>
      </w:pPr>
      <w:r>
        <w:rPr>
          <w:color w:val="auto"/>
          <w:highlight w:val="none"/>
        </w:rPr>
        <w:br w:type="page"/>
      </w:r>
    </w:p>
    <w:p w14:paraId="0D2687C1">
      <w:pPr>
        <w:spacing w:before="128" w:line="223" w:lineRule="auto"/>
        <w:rPr>
          <w:rFonts w:hint="eastAsia" w:eastAsia="宋体"/>
          <w:b/>
          <w:bCs/>
          <w:color w:val="auto"/>
          <w:sz w:val="24"/>
          <w:szCs w:val="24"/>
          <w:highlight w:val="none"/>
          <w:lang w:val="en-US" w:eastAsia="zh-CN"/>
        </w:rPr>
      </w:pPr>
      <w:r>
        <w:rPr>
          <w:rFonts w:hint="eastAsia" w:eastAsia="宋体"/>
          <w:b/>
          <w:bCs/>
          <w:color w:val="auto"/>
          <w:sz w:val="24"/>
          <w:szCs w:val="24"/>
          <w:highlight w:val="none"/>
          <w:lang w:val="en-US" w:eastAsia="zh-CN"/>
        </w:rPr>
        <w:t>附表2：</w:t>
      </w:r>
    </w:p>
    <w:p w14:paraId="129DFD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b/>
          <w:color w:val="auto"/>
          <w:sz w:val="36"/>
          <w:szCs w:val="36"/>
          <w:highlight w:val="none"/>
          <w:lang w:val="en-US" w:eastAsia="zh-CN"/>
        </w:rPr>
      </w:pPr>
    </w:p>
    <w:p w14:paraId="52FEC4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b/>
          <w:color w:val="auto"/>
          <w:sz w:val="36"/>
          <w:szCs w:val="36"/>
          <w:highlight w:val="none"/>
          <w:lang w:val="en-US" w:eastAsia="zh-CN"/>
        </w:rPr>
      </w:pPr>
    </w:p>
    <w:p w14:paraId="0591A962">
      <w:pPr>
        <w:jc w:val="center"/>
        <w:rPr>
          <w:rFonts w:hint="default" w:ascii="楷体_GB2312" w:hAnsi="楷体_GB2312" w:eastAsia="楷体_GB2312" w:cs="楷体_GB2312"/>
          <w:b/>
          <w:color w:val="auto"/>
          <w:sz w:val="36"/>
          <w:szCs w:val="36"/>
          <w:highlight w:val="none"/>
          <w:lang w:val="en-US" w:eastAsia="zh-CN"/>
        </w:rPr>
      </w:pPr>
      <w:r>
        <w:rPr>
          <w:rFonts w:hint="eastAsia" w:ascii="楷体_GB2312" w:hAnsi="楷体_GB2312" w:eastAsia="楷体_GB2312" w:cs="楷体_GB2312"/>
          <w:b/>
          <w:color w:val="auto"/>
          <w:sz w:val="36"/>
          <w:szCs w:val="36"/>
          <w:highlight w:val="none"/>
          <w:lang w:val="en-US" w:eastAsia="zh-CN"/>
        </w:rPr>
        <w:t>高青至武城高速商河至平原段工程</w:t>
      </w:r>
    </w:p>
    <w:p w14:paraId="31CE882E">
      <w:pPr>
        <w:jc w:val="center"/>
        <w:rPr>
          <w:rFonts w:hint="eastAsia" w:eastAsia="宋体"/>
          <w:color w:val="auto"/>
          <w:highlight w:val="none"/>
          <w:lang w:val="en-US" w:eastAsia="zh-CN"/>
        </w:rPr>
      </w:pPr>
      <w:r>
        <w:rPr>
          <w:rFonts w:hint="eastAsia" w:ascii="楷体_GB2312" w:hAnsi="楷体_GB2312" w:eastAsia="楷体_GB2312" w:cs="楷体_GB2312"/>
          <w:b/>
          <w:color w:val="auto"/>
          <w:sz w:val="36"/>
          <w:szCs w:val="36"/>
          <w:highlight w:val="none"/>
          <w:lang w:val="en-US" w:eastAsia="zh-CN"/>
        </w:rPr>
        <w:t>柴油采购项目竞谈报价（二轮）</w:t>
      </w:r>
    </w:p>
    <w:p w14:paraId="49D43066">
      <w:pPr>
        <w:keepNext w:val="0"/>
        <w:keepLines w:val="0"/>
        <w:pageBreakBefore w:val="0"/>
        <w:numPr>
          <w:ilvl w:val="0"/>
          <w:numId w:val="0"/>
        </w:numPr>
        <w:kinsoku/>
        <w:wordWrap/>
        <w:overflowPunct/>
        <w:topLinePunct w:val="0"/>
        <w:bidi w:val="0"/>
        <w:snapToGrid/>
        <w:spacing w:line="470" w:lineRule="exact"/>
        <w:jc w:val="right"/>
        <w:rPr>
          <w:rFonts w:hint="eastAsia" w:asciiTheme="minorEastAsia" w:hAnsiTheme="minorEastAsia" w:eastAsiaTheme="minorEastAsia" w:cstheme="minorEastAsia"/>
          <w:b/>
          <w:color w:val="auto"/>
          <w:kern w:val="0"/>
          <w:sz w:val="28"/>
          <w:szCs w:val="28"/>
          <w:highlight w:val="none"/>
          <w:lang w:val="en-US" w:eastAsia="zh-CN" w:bidi="ar-SA"/>
        </w:rPr>
      </w:pPr>
      <w:r>
        <w:rPr>
          <w:rFonts w:hint="eastAsia" w:ascii="宋体" w:eastAsia="宋体" w:cs="宋体"/>
          <w:color w:val="auto"/>
          <w:kern w:val="0"/>
          <w:sz w:val="24"/>
          <w:szCs w:val="24"/>
          <w:highlight w:val="none"/>
        </w:rPr>
        <w:t>货币单位:人民币（元）</w:t>
      </w:r>
    </w:p>
    <w:tbl>
      <w:tblPr>
        <w:tblStyle w:val="8"/>
        <w:tblW w:w="86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1"/>
        <w:gridCol w:w="1594"/>
        <w:gridCol w:w="680"/>
        <w:gridCol w:w="967"/>
        <w:gridCol w:w="2548"/>
        <w:gridCol w:w="1724"/>
      </w:tblGrid>
      <w:tr w14:paraId="43BC0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C54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子目号</w:t>
            </w: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1A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子 目 名 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90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单位</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3C7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数量</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58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较市场挂牌价格下浮单价（元/升）</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AB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备注</w:t>
            </w:r>
          </w:p>
        </w:tc>
      </w:tr>
      <w:tr w14:paraId="4B8AF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A0F0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1FEF">
            <w:pPr>
              <w:keepNext w:val="0"/>
              <w:keepLines w:val="0"/>
              <w:widowControl/>
              <w:suppressLineNumbers w:val="0"/>
              <w:jc w:val="center"/>
              <w:textAlignment w:val="center"/>
              <w:rPr>
                <w:rFonts w:hint="eastAsia" w:ascii="宋体" w:hAnsi="宋体" w:eastAsia="宋体" w:cs="宋体"/>
                <w:i w:val="0"/>
                <w:iCs w:val="0"/>
                <w:snapToGrid w:val="0"/>
                <w:color w:val="auto"/>
                <w:kern w:val="0"/>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rPr>
              <w:t>柴油</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BBF6">
            <w:pPr>
              <w:jc w:val="center"/>
              <w:rPr>
                <w:rFonts w:hint="eastAsia" w:ascii="宋体" w:hAnsi="宋体" w:eastAsia="宋体" w:cs="宋体"/>
                <w:i w:val="0"/>
                <w:iCs w:val="0"/>
                <w:snapToGrid w:val="0"/>
                <w:color w:val="auto"/>
                <w:kern w:val="0"/>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rPr>
              <w:t>升</w:t>
            </w: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48FB0">
            <w:pPr>
              <w:jc w:val="center"/>
              <w:rPr>
                <w:rFonts w:hint="eastAsia" w:ascii="宋体" w:hAnsi="宋体" w:eastAsia="宋体" w:cs="宋体"/>
                <w:i w:val="0"/>
                <w:iCs w:val="0"/>
                <w:snapToGrid w:val="0"/>
                <w:color w:val="auto"/>
                <w:kern w:val="0"/>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rPr>
              <w:t>130000</w:t>
            </w: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22B82">
            <w:pPr>
              <w:jc w:val="center"/>
              <w:rPr>
                <w:rFonts w:hint="eastAsia" w:ascii="宋体" w:hAnsi="宋体" w:eastAsia="宋体" w:cs="宋体"/>
                <w:i w:val="0"/>
                <w:iCs w:val="0"/>
                <w:color w:val="auto"/>
                <w:sz w:val="24"/>
                <w:szCs w:val="24"/>
                <w:highlight w:val="none"/>
                <w:u w:val="none"/>
              </w:rPr>
            </w:pP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B9CF">
            <w:pPr>
              <w:jc w:val="center"/>
              <w:rPr>
                <w:rFonts w:hint="eastAsia" w:ascii="宋体" w:hAnsi="宋体" w:eastAsia="宋体" w:cs="宋体"/>
                <w:i w:val="0"/>
                <w:iCs w:val="0"/>
                <w:color w:val="auto"/>
                <w:sz w:val="24"/>
                <w:szCs w:val="24"/>
                <w:highlight w:val="none"/>
                <w:u w:val="none"/>
              </w:rPr>
            </w:pPr>
          </w:p>
        </w:tc>
      </w:tr>
      <w:tr w14:paraId="19B8E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1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3ED26A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8B03">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C71D">
            <w:pPr>
              <w:jc w:val="center"/>
              <w:rPr>
                <w:rFonts w:hint="eastAsia" w:ascii="宋体" w:hAnsi="宋体" w:eastAsia="宋体" w:cs="宋体"/>
                <w:i w:val="0"/>
                <w:iCs w:val="0"/>
                <w:color w:val="auto"/>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3315">
            <w:pPr>
              <w:jc w:val="center"/>
              <w:rPr>
                <w:rFonts w:hint="eastAsia" w:ascii="宋体" w:hAnsi="宋体" w:eastAsia="宋体" w:cs="宋体"/>
                <w:i w:val="0"/>
                <w:iCs w:val="0"/>
                <w:color w:val="auto"/>
                <w:sz w:val="24"/>
                <w:szCs w:val="24"/>
                <w:highlight w:val="none"/>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C7751">
            <w:pPr>
              <w:jc w:val="center"/>
              <w:rPr>
                <w:rFonts w:hint="eastAsia" w:ascii="宋体" w:hAnsi="宋体" w:eastAsia="宋体" w:cs="宋体"/>
                <w:i w:val="0"/>
                <w:iCs w:val="0"/>
                <w:color w:val="auto"/>
                <w:sz w:val="24"/>
                <w:szCs w:val="24"/>
                <w:highlight w:val="none"/>
                <w:u w:val="none"/>
              </w:rPr>
            </w:pP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88BF7">
            <w:pPr>
              <w:jc w:val="center"/>
              <w:rPr>
                <w:rFonts w:hint="eastAsia" w:ascii="宋体" w:hAnsi="宋体" w:eastAsia="宋体" w:cs="宋体"/>
                <w:i w:val="0"/>
                <w:iCs w:val="0"/>
                <w:color w:val="auto"/>
                <w:sz w:val="24"/>
                <w:szCs w:val="24"/>
                <w:highlight w:val="none"/>
                <w:u w:val="none"/>
              </w:rPr>
            </w:pPr>
          </w:p>
        </w:tc>
      </w:tr>
      <w:tr w14:paraId="594D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11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C7C1F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5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E0C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5C4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9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5BB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2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1D3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C52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r>
      <w:tr w14:paraId="1BFF9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trPr>
        <w:tc>
          <w:tcPr>
            <w:tcW w:w="8624" w:type="dxa"/>
            <w:gridSpan w:val="6"/>
            <w:tcBorders>
              <w:top w:val="single" w:color="000000" w:sz="4" w:space="0"/>
              <w:left w:val="single" w:color="000000" w:sz="8" w:space="0"/>
              <w:bottom w:val="single" w:color="000000" w:sz="4" w:space="0"/>
              <w:right w:val="single" w:color="000000" w:sz="4" w:space="0"/>
            </w:tcBorders>
            <w:shd w:val="clear" w:color="auto" w:fill="auto"/>
            <w:vAlign w:val="center"/>
          </w:tcPr>
          <w:p w14:paraId="0CF65B4C">
            <w:pPr>
              <w:keepNext w:val="0"/>
              <w:keepLines w:val="0"/>
              <w:widowControl/>
              <w:suppressLineNumbers w:val="0"/>
              <w:jc w:val="center"/>
              <w:textAlignment w:val="center"/>
              <w:rPr>
                <w:rFonts w:hint="default" w:ascii="宋体" w:hAnsi="宋体" w:eastAsia="宋体" w:cs="宋体"/>
                <w:i w:val="0"/>
                <w:iCs w:val="0"/>
                <w:snapToGrid w:val="0"/>
                <w:color w:val="auto"/>
                <w:kern w:val="0"/>
                <w:sz w:val="24"/>
                <w:szCs w:val="24"/>
                <w:highlight w:val="none"/>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注：上述投标单价为落地综合单价</w:t>
            </w:r>
            <w:r>
              <w:rPr>
                <w:rFonts w:hint="default" w:ascii="仿宋_GB2312" w:hAnsi="宋体" w:eastAsia="仿宋_GB2312" w:cs="仿宋_GB2312"/>
                <w:i w:val="0"/>
                <w:iCs w:val="0"/>
                <w:color w:val="000000"/>
                <w:kern w:val="0"/>
                <w:sz w:val="24"/>
                <w:szCs w:val="24"/>
                <w:highlight w:val="none"/>
                <w:u w:val="none"/>
                <w:lang w:val="en-US" w:eastAsia="zh-CN" w:bidi="ar"/>
              </w:rPr>
              <w:t>，包括材料、</w:t>
            </w:r>
            <w:r>
              <w:rPr>
                <w:rFonts w:hint="eastAsia" w:ascii="仿宋_GB2312" w:hAnsi="宋体" w:eastAsia="仿宋_GB2312" w:cs="仿宋_GB2312"/>
                <w:i w:val="0"/>
                <w:iCs w:val="0"/>
                <w:color w:val="000000"/>
                <w:kern w:val="0"/>
                <w:sz w:val="24"/>
                <w:szCs w:val="24"/>
                <w:highlight w:val="none"/>
                <w:u w:val="none"/>
                <w:lang w:val="en-US" w:eastAsia="zh-CN" w:bidi="ar"/>
              </w:rPr>
              <w:t>送至施工现场的运输费</w:t>
            </w:r>
            <w:r>
              <w:rPr>
                <w:rFonts w:hint="default" w:ascii="仿宋_GB2312" w:hAnsi="宋体" w:eastAsia="仿宋_GB2312" w:cs="仿宋_GB2312"/>
                <w:i w:val="0"/>
                <w:iCs w:val="0"/>
                <w:color w:val="000000"/>
                <w:kern w:val="0"/>
                <w:sz w:val="24"/>
                <w:szCs w:val="24"/>
                <w:highlight w:val="none"/>
                <w:u w:val="none"/>
                <w:lang w:val="en-US" w:eastAsia="zh-CN" w:bidi="ar"/>
              </w:rPr>
              <w:t>及其他费用，最终结算数量以现场收料单标注为准。</w:t>
            </w:r>
          </w:p>
        </w:tc>
      </w:tr>
    </w:tbl>
    <w:p w14:paraId="753B506B">
      <w:pPr>
        <w:keepNext w:val="0"/>
        <w:keepLines w:val="0"/>
        <w:pageBreakBefore w:val="0"/>
        <w:kinsoku/>
        <w:wordWrap/>
        <w:overflowPunct/>
        <w:topLinePunct w:val="0"/>
        <w:autoSpaceDE/>
        <w:autoSpaceDN/>
        <w:bidi w:val="0"/>
        <w:adjustRightInd/>
        <w:snapToGrid/>
        <w:spacing w:afterLines="50" w:line="440" w:lineRule="exact"/>
        <w:jc w:val="center"/>
        <w:textAlignment w:val="auto"/>
        <w:rPr>
          <w:rFonts w:hint="eastAsia" w:asciiTheme="minorEastAsia" w:hAnsiTheme="minorEastAsia" w:eastAsiaTheme="minorEastAsia" w:cstheme="minorEastAsia"/>
          <w:b/>
          <w:color w:val="auto"/>
          <w:kern w:val="0"/>
          <w:sz w:val="28"/>
          <w:szCs w:val="28"/>
          <w:highlight w:val="none"/>
          <w:lang w:val="en-US" w:eastAsia="zh-CN" w:bidi="ar-SA"/>
        </w:rPr>
      </w:pPr>
    </w:p>
    <w:p w14:paraId="628F08E4">
      <w:pPr>
        <w:spacing w:line="620" w:lineRule="exact"/>
        <w:ind w:firstLine="3935" w:firstLineChars="1400"/>
        <w:rPr>
          <w:rFonts w:hint="eastAsia" w:ascii="楷体_GB2312" w:hAnsi="楷体_GB2312" w:eastAsia="楷体_GB2312" w:cs="楷体_GB2312"/>
          <w:b/>
          <w:bCs/>
          <w:color w:val="auto"/>
          <w:sz w:val="28"/>
          <w:szCs w:val="28"/>
          <w:highlight w:val="none"/>
          <w:lang w:eastAsia="zh-CN"/>
        </w:rPr>
      </w:pPr>
    </w:p>
    <w:p w14:paraId="63F0564F">
      <w:pPr>
        <w:spacing w:line="620" w:lineRule="exact"/>
        <w:ind w:firstLine="3935" w:firstLineChars="1400"/>
        <w:rPr>
          <w:rFonts w:hint="eastAsia" w:ascii="楷体_GB2312" w:hAnsi="楷体_GB2312" w:eastAsia="楷体_GB2312" w:cs="楷体_GB2312"/>
          <w:b/>
          <w:bCs/>
          <w:color w:val="auto"/>
          <w:sz w:val="28"/>
          <w:szCs w:val="28"/>
          <w:highlight w:val="none"/>
          <w:lang w:eastAsia="zh-CN"/>
        </w:rPr>
      </w:pPr>
    </w:p>
    <w:p w14:paraId="7D73F1EA">
      <w:pPr>
        <w:spacing w:line="480" w:lineRule="exact"/>
        <w:jc w:val="right"/>
        <w:rPr>
          <w:rFonts w:hint="default" w:ascii="楷体_GB2312" w:hAnsi="楷体_GB2312" w:eastAsia="楷体_GB2312" w:cs="楷体_GB2312"/>
          <w:bCs/>
          <w:color w:val="auto"/>
          <w:sz w:val="28"/>
          <w:szCs w:val="28"/>
          <w:highlight w:val="none"/>
          <w:lang w:val="en-US" w:eastAsia="zh-CN"/>
        </w:rPr>
      </w:pPr>
      <w:r>
        <w:rPr>
          <w:rFonts w:hint="eastAsia" w:ascii="楷体_GB2312" w:hAnsi="楷体_GB2312" w:eastAsia="楷体_GB2312" w:cs="楷体_GB2312"/>
          <w:bCs/>
          <w:color w:val="auto"/>
          <w:sz w:val="28"/>
          <w:szCs w:val="28"/>
          <w:highlight w:val="none"/>
        </w:rPr>
        <w:t xml:space="preserve">              </w:t>
      </w:r>
      <w:r>
        <w:rPr>
          <w:rFonts w:hint="eastAsia" w:ascii="楷体_GB2312" w:hAnsi="楷体_GB2312" w:eastAsia="楷体_GB2312" w:cs="楷体_GB2312"/>
          <w:bCs/>
          <w:color w:val="auto"/>
          <w:sz w:val="28"/>
          <w:szCs w:val="28"/>
          <w:highlight w:val="none"/>
          <w:lang w:val="en-US" w:eastAsia="zh-CN"/>
        </w:rPr>
        <w:t>德达交通建设发展集团有限公司</w:t>
      </w:r>
    </w:p>
    <w:p w14:paraId="61AD18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hAnsi="楷体_GB2312" w:eastAsia="楷体_GB2312" w:cs="楷体_GB2312"/>
          <w:bCs/>
          <w:color w:val="auto"/>
          <w:sz w:val="28"/>
          <w:szCs w:val="28"/>
          <w:highlight w:val="none"/>
        </w:rPr>
      </w:pPr>
      <w:r>
        <w:rPr>
          <w:rFonts w:hint="eastAsia" w:ascii="楷体_GB2312" w:hAnsi="楷体_GB2312" w:eastAsia="楷体_GB2312" w:cs="楷体_GB2312"/>
          <w:bCs/>
          <w:color w:val="auto"/>
          <w:sz w:val="28"/>
          <w:szCs w:val="28"/>
          <w:highlight w:val="none"/>
          <w:lang w:val="en-US" w:eastAsia="zh-CN"/>
        </w:rPr>
        <w:t xml:space="preserve">                                 2025</w:t>
      </w:r>
      <w:r>
        <w:rPr>
          <w:rFonts w:hint="eastAsia" w:ascii="楷体_GB2312" w:hAnsi="楷体_GB2312" w:eastAsia="楷体_GB2312" w:cs="楷体_GB2312"/>
          <w:bCs/>
          <w:color w:val="auto"/>
          <w:sz w:val="28"/>
          <w:szCs w:val="28"/>
          <w:highlight w:val="none"/>
        </w:rPr>
        <w:t>年</w:t>
      </w:r>
      <w:r>
        <w:rPr>
          <w:rFonts w:hint="eastAsia" w:ascii="楷体_GB2312" w:hAnsi="楷体_GB2312" w:eastAsia="楷体_GB2312" w:cs="楷体_GB2312"/>
          <w:bCs/>
          <w:color w:val="auto"/>
          <w:sz w:val="28"/>
          <w:szCs w:val="28"/>
          <w:highlight w:val="none"/>
          <w:lang w:val="en-US" w:eastAsia="zh-CN"/>
        </w:rPr>
        <w:t>3</w:t>
      </w:r>
      <w:r>
        <w:rPr>
          <w:rFonts w:hint="eastAsia" w:ascii="楷体_GB2312" w:hAnsi="楷体_GB2312" w:eastAsia="楷体_GB2312" w:cs="楷体_GB2312"/>
          <w:bCs/>
          <w:color w:val="auto"/>
          <w:sz w:val="28"/>
          <w:szCs w:val="28"/>
          <w:highlight w:val="none"/>
        </w:rPr>
        <w:t>月</w:t>
      </w:r>
      <w:r>
        <w:rPr>
          <w:rFonts w:hint="eastAsia" w:ascii="楷体_GB2312" w:hAnsi="楷体_GB2312" w:eastAsia="楷体_GB2312" w:cs="楷体_GB2312"/>
          <w:bCs/>
          <w:color w:val="auto"/>
          <w:sz w:val="28"/>
          <w:szCs w:val="28"/>
          <w:highlight w:val="none"/>
          <w:lang w:val="en-US" w:eastAsia="zh-CN"/>
        </w:rPr>
        <w:t>6</w:t>
      </w:r>
      <w:r>
        <w:rPr>
          <w:rFonts w:hint="eastAsia" w:ascii="楷体_GB2312" w:hAnsi="楷体_GB2312" w:eastAsia="楷体_GB2312" w:cs="楷体_GB2312"/>
          <w:bCs/>
          <w:color w:val="auto"/>
          <w:sz w:val="28"/>
          <w:szCs w:val="28"/>
          <w:highlight w:val="none"/>
        </w:rPr>
        <w:t>日</w:t>
      </w:r>
    </w:p>
    <w:p w14:paraId="5853C4CF">
      <w:pPr>
        <w:keepNext w:val="0"/>
        <w:keepLines w:val="0"/>
        <w:pageBreakBefore w:val="0"/>
        <w:kinsoku/>
        <w:wordWrap/>
        <w:overflowPunct/>
        <w:topLinePunct w:val="0"/>
        <w:autoSpaceDE/>
        <w:autoSpaceDN/>
        <w:bidi w:val="0"/>
        <w:adjustRightInd/>
        <w:snapToGrid/>
        <w:spacing w:afterLines="50" w:line="440" w:lineRule="exact"/>
        <w:jc w:val="center"/>
        <w:textAlignment w:val="auto"/>
        <w:rPr>
          <w:rFonts w:hint="eastAsia" w:asciiTheme="minorEastAsia" w:hAnsiTheme="minorEastAsia" w:eastAsiaTheme="minorEastAsia" w:cstheme="minorEastAsia"/>
          <w:b/>
          <w:color w:val="auto"/>
          <w:kern w:val="0"/>
          <w:sz w:val="28"/>
          <w:szCs w:val="28"/>
          <w:highlight w:val="none"/>
          <w:lang w:val="en-US" w:eastAsia="zh-CN" w:bidi="ar-SA"/>
        </w:rPr>
      </w:pPr>
    </w:p>
    <w:p w14:paraId="29AA8994">
      <w:pPr>
        <w:spacing w:before="128" w:line="223" w:lineRule="auto"/>
        <w:rPr>
          <w:color w:val="auto"/>
          <w:highlight w:val="none"/>
        </w:rPr>
      </w:pPr>
    </w:p>
    <w:sectPr>
      <w:pgSz w:w="11906" w:h="16838"/>
      <w:pgMar w:top="1440" w:right="1746" w:bottom="1440" w:left="174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4YjQ0ZDA3MjZhYTllMGE0MzAzYzJlMmFkZDg5ZTMifQ=="/>
  </w:docVars>
  <w:rsids>
    <w:rsidRoot w:val="00000000"/>
    <w:rsid w:val="00305CE7"/>
    <w:rsid w:val="018F4C90"/>
    <w:rsid w:val="01E943A0"/>
    <w:rsid w:val="01EA636A"/>
    <w:rsid w:val="0236335D"/>
    <w:rsid w:val="028D34A0"/>
    <w:rsid w:val="029A1B3E"/>
    <w:rsid w:val="03535B3A"/>
    <w:rsid w:val="03600692"/>
    <w:rsid w:val="038325D2"/>
    <w:rsid w:val="03CD1A9F"/>
    <w:rsid w:val="04A8683A"/>
    <w:rsid w:val="04EB042F"/>
    <w:rsid w:val="04EC075D"/>
    <w:rsid w:val="050E411D"/>
    <w:rsid w:val="05834B0B"/>
    <w:rsid w:val="05AA653C"/>
    <w:rsid w:val="05F532CC"/>
    <w:rsid w:val="063D157C"/>
    <w:rsid w:val="069074E0"/>
    <w:rsid w:val="06BA35C6"/>
    <w:rsid w:val="06C00ECA"/>
    <w:rsid w:val="06CC603E"/>
    <w:rsid w:val="0705758B"/>
    <w:rsid w:val="078E3460"/>
    <w:rsid w:val="07A7025C"/>
    <w:rsid w:val="07C75183"/>
    <w:rsid w:val="07F43A9E"/>
    <w:rsid w:val="082F4AD6"/>
    <w:rsid w:val="08365E65"/>
    <w:rsid w:val="084C5688"/>
    <w:rsid w:val="08AE00F1"/>
    <w:rsid w:val="0968374C"/>
    <w:rsid w:val="09B259BF"/>
    <w:rsid w:val="09D122E9"/>
    <w:rsid w:val="09DA375A"/>
    <w:rsid w:val="09DD2A0F"/>
    <w:rsid w:val="0A00672A"/>
    <w:rsid w:val="0A6C2012"/>
    <w:rsid w:val="0ACB31DC"/>
    <w:rsid w:val="0AD33E3F"/>
    <w:rsid w:val="0AD96F7B"/>
    <w:rsid w:val="0B04049C"/>
    <w:rsid w:val="0B50723E"/>
    <w:rsid w:val="0B512FB6"/>
    <w:rsid w:val="0B6E1DBA"/>
    <w:rsid w:val="0BD460C1"/>
    <w:rsid w:val="0BDE0CED"/>
    <w:rsid w:val="0BF27C65"/>
    <w:rsid w:val="0C4843B9"/>
    <w:rsid w:val="0E10224B"/>
    <w:rsid w:val="0E1D302B"/>
    <w:rsid w:val="0E5858AB"/>
    <w:rsid w:val="0E9D4E90"/>
    <w:rsid w:val="0EA96E94"/>
    <w:rsid w:val="0F3B0205"/>
    <w:rsid w:val="0F76123D"/>
    <w:rsid w:val="0FB12275"/>
    <w:rsid w:val="1057170E"/>
    <w:rsid w:val="119D1D1A"/>
    <w:rsid w:val="11A16A45"/>
    <w:rsid w:val="11B31475"/>
    <w:rsid w:val="11EC3A38"/>
    <w:rsid w:val="12295ADC"/>
    <w:rsid w:val="12771554"/>
    <w:rsid w:val="12EA441C"/>
    <w:rsid w:val="13053A34"/>
    <w:rsid w:val="133631BD"/>
    <w:rsid w:val="136B256C"/>
    <w:rsid w:val="13824654"/>
    <w:rsid w:val="14131955"/>
    <w:rsid w:val="14151024"/>
    <w:rsid w:val="14B7657F"/>
    <w:rsid w:val="14E86739"/>
    <w:rsid w:val="14F83B2E"/>
    <w:rsid w:val="155C2C83"/>
    <w:rsid w:val="15B036FB"/>
    <w:rsid w:val="15F64E85"/>
    <w:rsid w:val="16113A6D"/>
    <w:rsid w:val="16B26FFE"/>
    <w:rsid w:val="16C84A74"/>
    <w:rsid w:val="16D51F60"/>
    <w:rsid w:val="172064DE"/>
    <w:rsid w:val="17F13B56"/>
    <w:rsid w:val="184243B2"/>
    <w:rsid w:val="18F94A8C"/>
    <w:rsid w:val="19143FA0"/>
    <w:rsid w:val="193C136B"/>
    <w:rsid w:val="19A075E2"/>
    <w:rsid w:val="19BB266E"/>
    <w:rsid w:val="19D06618"/>
    <w:rsid w:val="1A53412E"/>
    <w:rsid w:val="1A5403CD"/>
    <w:rsid w:val="1AB33C33"/>
    <w:rsid w:val="1B3426D8"/>
    <w:rsid w:val="1B8D3B96"/>
    <w:rsid w:val="1B9B090D"/>
    <w:rsid w:val="1C314E69"/>
    <w:rsid w:val="1D293D92"/>
    <w:rsid w:val="1DBB3CD2"/>
    <w:rsid w:val="1DE32193"/>
    <w:rsid w:val="1DE33F41"/>
    <w:rsid w:val="1E6320E1"/>
    <w:rsid w:val="1E6D112D"/>
    <w:rsid w:val="1EDF0BAD"/>
    <w:rsid w:val="1F3A4035"/>
    <w:rsid w:val="1F7E6617"/>
    <w:rsid w:val="1FB0621F"/>
    <w:rsid w:val="1FE16BA6"/>
    <w:rsid w:val="1FFA090A"/>
    <w:rsid w:val="200E0542"/>
    <w:rsid w:val="20123639"/>
    <w:rsid w:val="202734C9"/>
    <w:rsid w:val="20541126"/>
    <w:rsid w:val="20C718F8"/>
    <w:rsid w:val="210E7527"/>
    <w:rsid w:val="211B39F2"/>
    <w:rsid w:val="217211A4"/>
    <w:rsid w:val="21C5554D"/>
    <w:rsid w:val="221A1EFC"/>
    <w:rsid w:val="228D7391"/>
    <w:rsid w:val="233139A1"/>
    <w:rsid w:val="23492A98"/>
    <w:rsid w:val="23757D31"/>
    <w:rsid w:val="23ED07A2"/>
    <w:rsid w:val="2446522A"/>
    <w:rsid w:val="245E07C6"/>
    <w:rsid w:val="2472773E"/>
    <w:rsid w:val="24961D0D"/>
    <w:rsid w:val="25170FD2"/>
    <w:rsid w:val="25201F1F"/>
    <w:rsid w:val="253941A1"/>
    <w:rsid w:val="255B4D05"/>
    <w:rsid w:val="258C4EBE"/>
    <w:rsid w:val="26065FE5"/>
    <w:rsid w:val="268070C2"/>
    <w:rsid w:val="26881571"/>
    <w:rsid w:val="26F94014"/>
    <w:rsid w:val="27204CFD"/>
    <w:rsid w:val="287352D1"/>
    <w:rsid w:val="28AD3ACA"/>
    <w:rsid w:val="28FC05AD"/>
    <w:rsid w:val="29003BF9"/>
    <w:rsid w:val="29626662"/>
    <w:rsid w:val="2A720EF9"/>
    <w:rsid w:val="2A992557"/>
    <w:rsid w:val="2AED3DAA"/>
    <w:rsid w:val="2B481888"/>
    <w:rsid w:val="2B990335"/>
    <w:rsid w:val="2BCA4992"/>
    <w:rsid w:val="2C4B7881"/>
    <w:rsid w:val="2C8132A3"/>
    <w:rsid w:val="2CBC42DB"/>
    <w:rsid w:val="2CF63BFC"/>
    <w:rsid w:val="2CFC5020"/>
    <w:rsid w:val="2D0E31F8"/>
    <w:rsid w:val="2D5A4AA8"/>
    <w:rsid w:val="2DD90EBD"/>
    <w:rsid w:val="2E5557C6"/>
    <w:rsid w:val="2F671E9A"/>
    <w:rsid w:val="2F8A6913"/>
    <w:rsid w:val="301574EF"/>
    <w:rsid w:val="304E1FC2"/>
    <w:rsid w:val="307153DD"/>
    <w:rsid w:val="30AB3809"/>
    <w:rsid w:val="30F46739"/>
    <w:rsid w:val="312B5ED3"/>
    <w:rsid w:val="32C435E9"/>
    <w:rsid w:val="32D86851"/>
    <w:rsid w:val="33D6090A"/>
    <w:rsid w:val="33F26834"/>
    <w:rsid w:val="34BF2BBB"/>
    <w:rsid w:val="34C952BD"/>
    <w:rsid w:val="36341386"/>
    <w:rsid w:val="364D069A"/>
    <w:rsid w:val="36527A5E"/>
    <w:rsid w:val="36C54B5C"/>
    <w:rsid w:val="36D14E27"/>
    <w:rsid w:val="37432BA4"/>
    <w:rsid w:val="377A101B"/>
    <w:rsid w:val="37E87E3B"/>
    <w:rsid w:val="37FC6B7F"/>
    <w:rsid w:val="38717C0E"/>
    <w:rsid w:val="38871C41"/>
    <w:rsid w:val="38AA5930"/>
    <w:rsid w:val="39534219"/>
    <w:rsid w:val="39B07FE2"/>
    <w:rsid w:val="39DC5FBD"/>
    <w:rsid w:val="3A0936D4"/>
    <w:rsid w:val="3A79317C"/>
    <w:rsid w:val="3AC32CD9"/>
    <w:rsid w:val="3AF45588"/>
    <w:rsid w:val="3B135A0E"/>
    <w:rsid w:val="3B491430"/>
    <w:rsid w:val="3B6C15C2"/>
    <w:rsid w:val="3BB675BA"/>
    <w:rsid w:val="3C463BC1"/>
    <w:rsid w:val="3C862210"/>
    <w:rsid w:val="3C8F7316"/>
    <w:rsid w:val="3CB94393"/>
    <w:rsid w:val="3D7E655A"/>
    <w:rsid w:val="3E0203F7"/>
    <w:rsid w:val="3E0A262C"/>
    <w:rsid w:val="3E3B6A3B"/>
    <w:rsid w:val="3E8D0FBC"/>
    <w:rsid w:val="3ED70158"/>
    <w:rsid w:val="3EEF22EE"/>
    <w:rsid w:val="3F2325F1"/>
    <w:rsid w:val="3FAE21A9"/>
    <w:rsid w:val="3FB42113"/>
    <w:rsid w:val="3FDD34C0"/>
    <w:rsid w:val="3FDD6067"/>
    <w:rsid w:val="400B75FC"/>
    <w:rsid w:val="40F55BB6"/>
    <w:rsid w:val="40F63E08"/>
    <w:rsid w:val="41766110"/>
    <w:rsid w:val="41A2189A"/>
    <w:rsid w:val="41B65345"/>
    <w:rsid w:val="42221190"/>
    <w:rsid w:val="42B607A6"/>
    <w:rsid w:val="42FF4ACA"/>
    <w:rsid w:val="4392593E"/>
    <w:rsid w:val="441733E4"/>
    <w:rsid w:val="44BE2E8F"/>
    <w:rsid w:val="44F96720"/>
    <w:rsid w:val="45463E94"/>
    <w:rsid w:val="455A248C"/>
    <w:rsid w:val="4578197C"/>
    <w:rsid w:val="45C53DA9"/>
    <w:rsid w:val="45DE2238"/>
    <w:rsid w:val="461F174E"/>
    <w:rsid w:val="464A2ED4"/>
    <w:rsid w:val="47A8766B"/>
    <w:rsid w:val="47EA7A68"/>
    <w:rsid w:val="47F6202B"/>
    <w:rsid w:val="48420A18"/>
    <w:rsid w:val="48B431A9"/>
    <w:rsid w:val="49221512"/>
    <w:rsid w:val="49634005"/>
    <w:rsid w:val="4A062BE2"/>
    <w:rsid w:val="4A950488"/>
    <w:rsid w:val="4A9621B8"/>
    <w:rsid w:val="4AB32D6A"/>
    <w:rsid w:val="4AF12DCE"/>
    <w:rsid w:val="4B661B8A"/>
    <w:rsid w:val="4BB45814"/>
    <w:rsid w:val="4C2D08FA"/>
    <w:rsid w:val="4C9B3AB5"/>
    <w:rsid w:val="4CD82614"/>
    <w:rsid w:val="4D080A48"/>
    <w:rsid w:val="4D4E6D7A"/>
    <w:rsid w:val="4DA93FB0"/>
    <w:rsid w:val="4DEE5E67"/>
    <w:rsid w:val="4E196024"/>
    <w:rsid w:val="4E30022D"/>
    <w:rsid w:val="4EC15329"/>
    <w:rsid w:val="4EE04760"/>
    <w:rsid w:val="4EFB6A76"/>
    <w:rsid w:val="4F6F4D85"/>
    <w:rsid w:val="4F8A34D2"/>
    <w:rsid w:val="4FB54E8E"/>
    <w:rsid w:val="502A0F24"/>
    <w:rsid w:val="511E6BD5"/>
    <w:rsid w:val="51316904"/>
    <w:rsid w:val="51AE428B"/>
    <w:rsid w:val="51EC0F1C"/>
    <w:rsid w:val="51EE28D9"/>
    <w:rsid w:val="5306231C"/>
    <w:rsid w:val="532366DF"/>
    <w:rsid w:val="537E08F2"/>
    <w:rsid w:val="539764F4"/>
    <w:rsid w:val="53AE40CE"/>
    <w:rsid w:val="5418076C"/>
    <w:rsid w:val="544D38E7"/>
    <w:rsid w:val="548E3F00"/>
    <w:rsid w:val="54F26BBE"/>
    <w:rsid w:val="551B39E5"/>
    <w:rsid w:val="552D3719"/>
    <w:rsid w:val="557A2957"/>
    <w:rsid w:val="557A4CA3"/>
    <w:rsid w:val="55A57753"/>
    <w:rsid w:val="55C71477"/>
    <w:rsid w:val="561B17C3"/>
    <w:rsid w:val="563F0FE1"/>
    <w:rsid w:val="565D1DDC"/>
    <w:rsid w:val="56B04601"/>
    <w:rsid w:val="56C836F9"/>
    <w:rsid w:val="56F95FA8"/>
    <w:rsid w:val="574B7E86"/>
    <w:rsid w:val="58E6430A"/>
    <w:rsid w:val="58F05189"/>
    <w:rsid w:val="59DE1485"/>
    <w:rsid w:val="59EA1BD8"/>
    <w:rsid w:val="59F12F67"/>
    <w:rsid w:val="5AC72C37"/>
    <w:rsid w:val="5B435A44"/>
    <w:rsid w:val="5B4C3F06"/>
    <w:rsid w:val="5C3929A3"/>
    <w:rsid w:val="5C5617A7"/>
    <w:rsid w:val="5C657C3C"/>
    <w:rsid w:val="5C693288"/>
    <w:rsid w:val="5C9439C0"/>
    <w:rsid w:val="5D07562D"/>
    <w:rsid w:val="5D9F2CDA"/>
    <w:rsid w:val="5DA622BA"/>
    <w:rsid w:val="5DBE5856"/>
    <w:rsid w:val="5DC10EA2"/>
    <w:rsid w:val="5E54173C"/>
    <w:rsid w:val="5E9345EC"/>
    <w:rsid w:val="5F223BC2"/>
    <w:rsid w:val="5FB962D5"/>
    <w:rsid w:val="5FD44EBD"/>
    <w:rsid w:val="606542BD"/>
    <w:rsid w:val="60870181"/>
    <w:rsid w:val="6089214B"/>
    <w:rsid w:val="60D4713E"/>
    <w:rsid w:val="60D809DC"/>
    <w:rsid w:val="6149265B"/>
    <w:rsid w:val="62AF6EE2"/>
    <w:rsid w:val="62D74A55"/>
    <w:rsid w:val="637251F2"/>
    <w:rsid w:val="6375774F"/>
    <w:rsid w:val="639D5F0D"/>
    <w:rsid w:val="63B82D47"/>
    <w:rsid w:val="63D25BB7"/>
    <w:rsid w:val="63D538F9"/>
    <w:rsid w:val="646F3406"/>
    <w:rsid w:val="649A0639"/>
    <w:rsid w:val="65444892"/>
    <w:rsid w:val="657038D9"/>
    <w:rsid w:val="6605645B"/>
    <w:rsid w:val="661A639D"/>
    <w:rsid w:val="661E50E3"/>
    <w:rsid w:val="668138C4"/>
    <w:rsid w:val="66AF0431"/>
    <w:rsid w:val="66B477F6"/>
    <w:rsid w:val="66B617C0"/>
    <w:rsid w:val="66C11F13"/>
    <w:rsid w:val="66CE5E36"/>
    <w:rsid w:val="66D659BE"/>
    <w:rsid w:val="67161B46"/>
    <w:rsid w:val="67195A92"/>
    <w:rsid w:val="672E43C0"/>
    <w:rsid w:val="674A1F08"/>
    <w:rsid w:val="67E76E83"/>
    <w:rsid w:val="684F3C7A"/>
    <w:rsid w:val="68541290"/>
    <w:rsid w:val="68815DFE"/>
    <w:rsid w:val="688651C2"/>
    <w:rsid w:val="68866F70"/>
    <w:rsid w:val="68F428CC"/>
    <w:rsid w:val="69064C26"/>
    <w:rsid w:val="69A47FF6"/>
    <w:rsid w:val="69CA7330"/>
    <w:rsid w:val="69E2467A"/>
    <w:rsid w:val="69E77EE2"/>
    <w:rsid w:val="6A436A18"/>
    <w:rsid w:val="6A753740"/>
    <w:rsid w:val="6B150BE5"/>
    <w:rsid w:val="6B234F4A"/>
    <w:rsid w:val="6B513865"/>
    <w:rsid w:val="6B7B4D86"/>
    <w:rsid w:val="6C0503D3"/>
    <w:rsid w:val="6C2B2308"/>
    <w:rsid w:val="6C375151"/>
    <w:rsid w:val="6C8934D3"/>
    <w:rsid w:val="6CAE6A95"/>
    <w:rsid w:val="6CB467A2"/>
    <w:rsid w:val="6CC12C6C"/>
    <w:rsid w:val="6CF46B9E"/>
    <w:rsid w:val="6D4A0EB4"/>
    <w:rsid w:val="6DD62748"/>
    <w:rsid w:val="6E702020"/>
    <w:rsid w:val="6EA2262A"/>
    <w:rsid w:val="6EA25E50"/>
    <w:rsid w:val="6EA6211A"/>
    <w:rsid w:val="6EA63EC8"/>
    <w:rsid w:val="6EED1AF7"/>
    <w:rsid w:val="6F1352D6"/>
    <w:rsid w:val="6F9D176F"/>
    <w:rsid w:val="6FFF1452"/>
    <w:rsid w:val="703D6A50"/>
    <w:rsid w:val="7047792D"/>
    <w:rsid w:val="70860455"/>
    <w:rsid w:val="7095216F"/>
    <w:rsid w:val="709553C3"/>
    <w:rsid w:val="70981F36"/>
    <w:rsid w:val="70CB230C"/>
    <w:rsid w:val="71A072F4"/>
    <w:rsid w:val="71E511AB"/>
    <w:rsid w:val="73120A7C"/>
    <w:rsid w:val="73726A6F"/>
    <w:rsid w:val="73AF381F"/>
    <w:rsid w:val="73D56FFD"/>
    <w:rsid w:val="74640AAD"/>
    <w:rsid w:val="74BF52F7"/>
    <w:rsid w:val="74C90910"/>
    <w:rsid w:val="74FF2CD7"/>
    <w:rsid w:val="75243D99"/>
    <w:rsid w:val="755521A4"/>
    <w:rsid w:val="755F3023"/>
    <w:rsid w:val="75752846"/>
    <w:rsid w:val="7577036C"/>
    <w:rsid w:val="75BC62B9"/>
    <w:rsid w:val="75E0188B"/>
    <w:rsid w:val="75ED6880"/>
    <w:rsid w:val="76371E5E"/>
    <w:rsid w:val="76D87530"/>
    <w:rsid w:val="771747F3"/>
    <w:rsid w:val="775C1F10"/>
    <w:rsid w:val="7798554B"/>
    <w:rsid w:val="78247E65"/>
    <w:rsid w:val="783B47F8"/>
    <w:rsid w:val="7840538D"/>
    <w:rsid w:val="78701BA4"/>
    <w:rsid w:val="78767001"/>
    <w:rsid w:val="78866997"/>
    <w:rsid w:val="78B673FD"/>
    <w:rsid w:val="78DD498A"/>
    <w:rsid w:val="79102D89"/>
    <w:rsid w:val="79E24222"/>
    <w:rsid w:val="7A146AD1"/>
    <w:rsid w:val="7A24483B"/>
    <w:rsid w:val="7B0C59FB"/>
    <w:rsid w:val="7B413C30"/>
    <w:rsid w:val="7BA3748A"/>
    <w:rsid w:val="7BE40725"/>
    <w:rsid w:val="7C0E03C2"/>
    <w:rsid w:val="7C136915"/>
    <w:rsid w:val="7C635AEE"/>
    <w:rsid w:val="7D30556A"/>
    <w:rsid w:val="7D5176F5"/>
    <w:rsid w:val="7D997C30"/>
    <w:rsid w:val="7DF3391E"/>
    <w:rsid w:val="7DFF35F5"/>
    <w:rsid w:val="7E486D4A"/>
    <w:rsid w:val="7F531330"/>
    <w:rsid w:val="7F9D326C"/>
    <w:rsid w:val="7FDE274C"/>
    <w:rsid w:val="F5D7D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next w:val="1"/>
    <w:qFormat/>
    <w:uiPriority w:val="0"/>
    <w:pPr>
      <w:spacing w:line="500" w:lineRule="exact"/>
      <w:ind w:left="832" w:leftChars="832" w:firstLine="196" w:firstLineChars="196"/>
    </w:pPr>
    <w:rPr>
      <w:rFonts w:ascii="Times New Roman" w:hAnsi="Times New Roman" w:eastAsia="宋体" w:cs="Times New Roman"/>
      <w:sz w:val="24"/>
    </w:r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6">
    <w:name w:val="Body Text First Indent"/>
    <w:basedOn w:val="2"/>
    <w:qFormat/>
    <w:uiPriority w:val="0"/>
    <w:pPr>
      <w:ind w:firstLine="420" w:firstLineChars="100"/>
    </w:pPr>
  </w:style>
  <w:style w:type="paragraph" w:styleId="7">
    <w:name w:val="Body Text First Indent 2"/>
    <w:basedOn w:val="3"/>
    <w:next w:val="1"/>
    <w:unhideWhenUsed/>
    <w:qFormat/>
    <w:uiPriority w:val="0"/>
    <w:pPr>
      <w:ind w:firstLine="420"/>
    </w:pPr>
  </w:style>
  <w:style w:type="character" w:customStyle="1" w:styleId="10">
    <w:name w:val="font51"/>
    <w:basedOn w:val="9"/>
    <w:qFormat/>
    <w:uiPriority w:val="0"/>
    <w:rPr>
      <w:rFonts w:hint="eastAsia" w:ascii="宋体" w:hAnsi="宋体" w:eastAsia="宋体" w:cs="宋体"/>
      <w:b/>
      <w:bCs/>
      <w:color w:val="000000"/>
      <w:sz w:val="32"/>
      <w:szCs w:val="32"/>
      <w:u w:val="single"/>
    </w:rPr>
  </w:style>
  <w:style w:type="character" w:customStyle="1" w:styleId="11">
    <w:name w:val="font31"/>
    <w:basedOn w:val="9"/>
    <w:qFormat/>
    <w:uiPriority w:val="0"/>
    <w:rPr>
      <w:rFonts w:hint="eastAsia" w:ascii="宋体" w:hAnsi="宋体" w:eastAsia="宋体" w:cs="宋体"/>
      <w:b/>
      <w:bCs/>
      <w:color w:val="000000"/>
      <w:sz w:val="32"/>
      <w:szCs w:val="32"/>
      <w:u w:val="none"/>
    </w:rPr>
  </w:style>
  <w:style w:type="paragraph" w:customStyle="1" w:styleId="12">
    <w:name w:val="首行缩进"/>
    <w:basedOn w:val="1"/>
    <w:autoRedefine/>
    <w:qFormat/>
    <w:uiPriority w:val="0"/>
    <w:pPr>
      <w:spacing w:line="360" w:lineRule="auto"/>
      <w:ind w:firstLine="480" w:firstLineChars="200"/>
    </w:pPr>
    <w:rPr>
      <w:rFonts w:ascii="宋体" w:hAnsi="宋体" w:cs="宋体"/>
      <w:kern w:val="0"/>
      <w:sz w:val="24"/>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2216</Words>
  <Characters>2376</Characters>
  <Lines>0</Lines>
  <Paragraphs>0</Paragraphs>
  <TotalTime>19</TotalTime>
  <ScaleCrop>false</ScaleCrop>
  <LinksUpToDate>false</LinksUpToDate>
  <CharactersWithSpaces>2534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2024-07-17T10:42:00Z</dcterms:created>
  <dc:creator>82161</dc:creator>
  <cp:lastModifiedBy>燕子</cp:lastModifiedBy>
  <cp:lastPrinted>2025-02-25T06:09:00Z</cp:lastPrinted>
  <dcterms:modified xsi:type="dcterms:W3CDTF">2025-03-06T08:11:38Z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E9DC93E65F08449888D96F9137663A72_13</vt:lpwstr>
  </property>
  <property fmtid="{D5CDD505-2E9C-101B-9397-08002B2CF9AE}" pid="4" name="KSOTemplateDocerSaveRecord">
    <vt:lpwstr>eyJoZGlkIjoiYzYwMmE4NTIyNjUwN2ZlMWQ2NWUwM2M0OGZlZWIyYjMiLCJ1c2VySWQiOiI5NTQ5NzM4MzMifQ==</vt:lpwstr>
  </property>
</Properties>
</file>