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B2C48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楷体_GB2312" w:hAnsi="楷体_GB2312" w:eastAsia="楷体_GB2312" w:cs="楷体_GB2312"/>
          <w:b/>
          <w:color w:val="000000"/>
          <w:sz w:val="36"/>
          <w:szCs w:val="36"/>
          <w:lang w:val="en-US" w:eastAsia="zh-CN"/>
        </w:rPr>
      </w:pPr>
      <w:r>
        <w:rPr>
          <w:rFonts w:hint="eastAsia" w:ascii="楷体_GB2312" w:hAnsi="楷体_GB2312" w:eastAsia="楷体_GB2312" w:cs="楷体_GB2312"/>
          <w:b/>
          <w:color w:val="000000"/>
          <w:sz w:val="36"/>
          <w:szCs w:val="36"/>
          <w:lang w:val="en-US" w:eastAsia="zh-CN"/>
        </w:rPr>
        <w:t>路面工程公司零星工程</w:t>
      </w:r>
    </w:p>
    <w:p w14:paraId="7D2CE70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楷体_GB2312" w:hAnsi="楷体_GB2312" w:eastAsia="楷体_GB2312" w:cs="楷体_GB2312"/>
          <w:b/>
          <w:color w:val="auto"/>
          <w:sz w:val="36"/>
          <w:szCs w:val="36"/>
          <w:highlight w:val="none"/>
          <w:lang w:val="en-US" w:eastAsia="zh-CN"/>
        </w:rPr>
      </w:pPr>
      <w:r>
        <w:rPr>
          <w:rFonts w:hint="eastAsia" w:ascii="楷体_GB2312" w:hAnsi="楷体_GB2312" w:eastAsia="楷体_GB2312" w:cs="楷体_GB2312"/>
          <w:b/>
          <w:color w:val="000000"/>
          <w:sz w:val="36"/>
          <w:szCs w:val="36"/>
          <w:lang w:val="en-US" w:eastAsia="zh-CN"/>
        </w:rPr>
        <w:t>丙烷液化石油气采购</w:t>
      </w:r>
      <w:r>
        <w:rPr>
          <w:rFonts w:hint="eastAsia" w:ascii="楷体_GB2312" w:hAnsi="楷体_GB2312" w:eastAsia="楷体_GB2312" w:cs="楷体_GB2312"/>
          <w:b/>
          <w:color w:val="auto"/>
          <w:sz w:val="36"/>
          <w:szCs w:val="36"/>
          <w:highlight w:val="none"/>
          <w:lang w:val="en-US" w:eastAsia="zh-CN"/>
        </w:rPr>
        <w:t>谈判公告</w:t>
      </w:r>
    </w:p>
    <w:p w14:paraId="04130CD0">
      <w:pPr>
        <w:spacing w:before="74" w:line="224" w:lineRule="auto"/>
        <w:rPr>
          <w:rFonts w:ascii="楷体" w:hAnsi="楷体" w:eastAsia="楷体" w:cs="楷体"/>
          <w:color w:val="auto"/>
          <w:spacing w:val="-16"/>
          <w:sz w:val="29"/>
          <w:szCs w:val="29"/>
          <w:highlight w:val="none"/>
        </w:rPr>
      </w:pPr>
    </w:p>
    <w:p w14:paraId="0CAFE345">
      <w:pPr>
        <w:autoSpaceDE w:val="0"/>
        <w:autoSpaceDN w:val="0"/>
        <w:adjustRightInd w:val="0"/>
        <w:spacing w:line="460" w:lineRule="exact"/>
        <w:ind w:firstLine="562" w:firstLineChars="200"/>
        <w:rPr>
          <w:rFonts w:hint="eastAsia" w:ascii="楷体_GB2312" w:hAnsi="楷体_GB2312" w:eastAsia="楷体_GB2312" w:cs="楷体_GB2312"/>
          <w:b/>
          <w:bCs/>
          <w:color w:val="auto"/>
          <w:sz w:val="28"/>
          <w:szCs w:val="28"/>
          <w:highlight w:val="none"/>
          <w:lang w:val="en-US" w:eastAsia="zh-CN"/>
        </w:rPr>
      </w:pPr>
      <w:r>
        <w:rPr>
          <w:rFonts w:hint="eastAsia" w:ascii="楷体_GB2312" w:hAnsi="楷体_GB2312" w:eastAsia="楷体_GB2312" w:cs="楷体_GB2312"/>
          <w:b/>
          <w:bCs/>
          <w:color w:val="auto"/>
          <w:sz w:val="28"/>
          <w:szCs w:val="28"/>
          <w:highlight w:val="none"/>
          <w:lang w:val="en-US" w:eastAsia="zh-CN"/>
        </w:rPr>
        <w:t>一、项目概况与询价范围</w:t>
      </w:r>
    </w:p>
    <w:p w14:paraId="371932EC">
      <w:pPr>
        <w:autoSpaceDE w:val="0"/>
        <w:autoSpaceDN w:val="0"/>
        <w:spacing w:line="460" w:lineRule="exact"/>
        <w:ind w:firstLine="560" w:firstLineChars="200"/>
        <w:rPr>
          <w:rFonts w:hint="default" w:ascii="楷体_GB2312" w:hAnsi="楷体_GB2312" w:eastAsia="楷体_GB2312" w:cs="楷体_GB2312"/>
          <w:color w:val="auto"/>
          <w:sz w:val="28"/>
          <w:szCs w:val="28"/>
          <w:highlight w:val="none"/>
          <w:u w:val="none"/>
          <w:lang w:val="en-US" w:eastAsia="zh-CN"/>
        </w:rPr>
      </w:pPr>
      <w:r>
        <w:rPr>
          <w:rFonts w:hint="eastAsia" w:ascii="楷体_GB2312" w:hAnsi="楷体_GB2312" w:eastAsia="楷体_GB2312" w:cs="楷体_GB2312"/>
          <w:color w:val="auto"/>
          <w:kern w:val="0"/>
          <w:sz w:val="28"/>
          <w:szCs w:val="28"/>
          <w:highlight w:val="none"/>
          <w:lang w:val="en-US" w:eastAsia="zh-CN"/>
        </w:rPr>
        <w:t>1、项目概况：</w:t>
      </w:r>
      <w:r>
        <w:rPr>
          <w:rFonts w:hint="eastAsia" w:ascii="楷体_GB2312" w:hAnsi="楷体_GB2312" w:eastAsia="楷体_GB2312" w:cs="楷体_GB2312"/>
          <w:color w:val="auto"/>
          <w:sz w:val="28"/>
          <w:szCs w:val="28"/>
          <w:highlight w:val="none"/>
          <w:u w:val="none"/>
          <w:lang w:val="zh-TW" w:eastAsia="zh-TW"/>
        </w:rPr>
        <w:t>应用维特根热再生机组对4cm旧沥青进行复拌就地热再生</w:t>
      </w:r>
      <w:r>
        <w:rPr>
          <w:rFonts w:hint="eastAsia" w:ascii="楷体_GB2312" w:hAnsi="楷体_GB2312" w:eastAsia="楷体_GB2312" w:cs="楷体_GB2312"/>
          <w:color w:val="auto"/>
          <w:sz w:val="28"/>
          <w:szCs w:val="28"/>
          <w:highlight w:val="none"/>
          <w:u w:val="none"/>
          <w:lang w:val="en-US" w:eastAsia="zh-CN"/>
        </w:rPr>
        <w:t>。</w:t>
      </w:r>
    </w:p>
    <w:p w14:paraId="529B5CB4">
      <w:pPr>
        <w:autoSpaceDE w:val="0"/>
        <w:autoSpaceDN w:val="0"/>
        <w:spacing w:line="460" w:lineRule="exact"/>
        <w:ind w:firstLine="560" w:firstLineChars="200"/>
        <w:rPr>
          <w:rFonts w:hint="eastAsia" w:ascii="楷体_GB2312" w:hAnsi="楷体_GB2312" w:eastAsia="楷体_GB2312" w:cs="楷体_GB2312"/>
          <w:color w:val="auto"/>
          <w:sz w:val="28"/>
          <w:szCs w:val="28"/>
          <w:highlight w:val="none"/>
          <w:u w:val="single"/>
          <w:lang w:val="en-US" w:eastAsia="zh-CN"/>
        </w:rPr>
      </w:pPr>
      <w:r>
        <w:rPr>
          <w:rFonts w:hint="eastAsia" w:ascii="楷体_GB2312" w:hAnsi="楷体_GB2312" w:eastAsia="楷体_GB2312" w:cs="楷体_GB2312"/>
          <w:color w:val="auto"/>
          <w:kern w:val="0"/>
          <w:sz w:val="28"/>
          <w:szCs w:val="28"/>
          <w:highlight w:val="none"/>
          <w:lang w:val="en-US" w:eastAsia="zh-CN"/>
        </w:rPr>
        <w:t>2、谈判范</w:t>
      </w:r>
      <w:r>
        <w:rPr>
          <w:rFonts w:hint="eastAsia" w:ascii="楷体_GB2312" w:hAnsi="楷体_GB2312" w:eastAsia="楷体_GB2312" w:cs="楷体_GB2312"/>
          <w:color w:val="auto"/>
          <w:kern w:val="0"/>
          <w:sz w:val="28"/>
          <w:szCs w:val="28"/>
          <w:highlight w:val="none"/>
          <w:u w:val="none"/>
          <w:lang w:val="en-US" w:eastAsia="zh-CN"/>
        </w:rPr>
        <w:t>围：</w:t>
      </w:r>
      <w:r>
        <w:rPr>
          <w:rFonts w:hint="eastAsia" w:ascii="楷体_GB2312" w:hAnsi="楷体_GB2312" w:eastAsia="楷体_GB2312" w:cs="楷体_GB2312"/>
          <w:color w:val="auto"/>
          <w:sz w:val="28"/>
          <w:szCs w:val="28"/>
          <w:highlight w:val="none"/>
          <w:u w:val="none"/>
          <w:lang w:val="en-US" w:eastAsia="zh-CN"/>
        </w:rPr>
        <w:t>路面工程公司零星工程丙烷液化石油气采购项目</w:t>
      </w:r>
    </w:p>
    <w:p w14:paraId="32484815">
      <w:pPr>
        <w:autoSpaceDE w:val="0"/>
        <w:autoSpaceDN w:val="0"/>
        <w:spacing w:line="460" w:lineRule="exact"/>
        <w:ind w:firstLine="560" w:firstLineChars="200"/>
        <w:rPr>
          <w:rFonts w:hint="eastAsia" w:ascii="楷体_GB2312" w:hAnsi="楷体_GB2312" w:eastAsia="楷体_GB2312" w:cs="楷体_GB2312"/>
          <w:sz w:val="28"/>
          <w:szCs w:val="28"/>
          <w:lang w:val="en-US" w:eastAsia="zh-CN"/>
        </w:rPr>
      </w:pPr>
      <w:r>
        <w:rPr>
          <w:rFonts w:hint="eastAsia" w:ascii="楷体_GB2312" w:hAnsi="楷体_GB2312" w:eastAsia="楷体_GB2312" w:cs="楷体_GB2312"/>
          <w:color w:val="auto"/>
          <w:sz w:val="28"/>
          <w:szCs w:val="28"/>
          <w:highlight w:val="none"/>
          <w:u w:val="none"/>
          <w:lang w:val="en-US" w:eastAsia="zh-CN"/>
        </w:rPr>
        <w:t>3、</w:t>
      </w:r>
      <w:r>
        <w:rPr>
          <w:rFonts w:hint="eastAsia" w:ascii="楷体_GB2312" w:hAnsi="楷体_GB2312" w:eastAsia="楷体_GB2312" w:cs="楷体_GB2312"/>
          <w:color w:val="auto"/>
          <w:kern w:val="0"/>
          <w:sz w:val="28"/>
          <w:szCs w:val="28"/>
          <w:highlight w:val="none"/>
          <w:lang w:val="en-US" w:eastAsia="zh-CN"/>
        </w:rPr>
        <w:t>项目编号：</w:t>
      </w:r>
      <w:r>
        <w:rPr>
          <w:rFonts w:hint="eastAsia" w:ascii="楷体_GB2312" w:hAnsi="楷体_GB2312" w:eastAsia="楷体_GB2312" w:cs="楷体_GB2312"/>
          <w:sz w:val="28"/>
          <w:szCs w:val="28"/>
          <w:lang w:val="en-US" w:eastAsia="zh-CN"/>
        </w:rPr>
        <w:t>DZSZZC-20250050</w:t>
      </w:r>
      <w:r>
        <w:rPr>
          <w:rFonts w:hint="eastAsia" w:ascii="楷体_GB2312" w:hAnsi="楷体_GB2312" w:eastAsia="楷体_GB2312" w:cs="楷体_GB2312"/>
          <w:color w:val="auto"/>
          <w:kern w:val="0"/>
          <w:sz w:val="28"/>
          <w:szCs w:val="28"/>
          <w:highlight w:val="none"/>
          <w:lang w:val="en-US" w:eastAsia="zh-CN"/>
        </w:rPr>
        <w:t xml:space="preserve"> 招标编号：</w:t>
      </w:r>
      <w:r>
        <w:rPr>
          <w:rFonts w:hint="eastAsia" w:ascii="楷体_GB2312" w:hAnsi="楷体_GB2312" w:eastAsia="楷体_GB2312" w:cs="楷体_GB2312"/>
          <w:sz w:val="28"/>
          <w:szCs w:val="28"/>
          <w:lang w:val="en-US" w:eastAsia="zh-CN"/>
        </w:rPr>
        <w:t>DDJJ-WZ-2025012</w:t>
      </w:r>
    </w:p>
    <w:p w14:paraId="78F879FD">
      <w:pPr>
        <w:autoSpaceDE w:val="0"/>
        <w:autoSpaceDN w:val="0"/>
        <w:spacing w:line="460" w:lineRule="exact"/>
        <w:ind w:firstLine="560" w:firstLineChars="200"/>
        <w:rPr>
          <w:rFonts w:hint="default" w:ascii="楷体_GB2312" w:hAnsi="楷体_GB2312" w:eastAsia="楷体_GB2312" w:cs="楷体_GB2312"/>
          <w:color w:val="auto"/>
          <w:kern w:val="0"/>
          <w:sz w:val="28"/>
          <w:szCs w:val="28"/>
          <w:highlight w:val="none"/>
          <w:lang w:val="en-US" w:eastAsia="zh-CN"/>
        </w:rPr>
      </w:pPr>
      <w:r>
        <w:rPr>
          <w:rFonts w:hint="eastAsia" w:ascii="楷体_GB2312" w:hAnsi="楷体_GB2312" w:eastAsia="楷体_GB2312" w:cs="楷体_GB2312"/>
          <w:color w:val="auto"/>
          <w:kern w:val="0"/>
          <w:sz w:val="28"/>
          <w:szCs w:val="28"/>
          <w:highlight w:val="none"/>
          <w:lang w:val="en-US" w:eastAsia="zh-CN"/>
        </w:rPr>
        <w:t>4、谈判方式：现场报价（首轮、二轮）</w:t>
      </w:r>
    </w:p>
    <w:p w14:paraId="7833A43E">
      <w:pPr>
        <w:autoSpaceDE w:val="0"/>
        <w:autoSpaceDN w:val="0"/>
        <w:adjustRightInd w:val="0"/>
        <w:spacing w:line="460" w:lineRule="exact"/>
        <w:ind w:firstLine="562" w:firstLineChars="200"/>
        <w:rPr>
          <w:rFonts w:hint="eastAsia" w:ascii="楷体_GB2312" w:hAnsi="楷体_GB2312" w:eastAsia="楷体_GB2312" w:cs="楷体_GB2312"/>
          <w:color w:val="auto"/>
          <w:sz w:val="28"/>
          <w:szCs w:val="28"/>
          <w:highlight w:val="none"/>
          <w:lang w:val="zh-CN"/>
        </w:rPr>
      </w:pPr>
      <w:r>
        <w:rPr>
          <w:rFonts w:hint="eastAsia" w:ascii="楷体_GB2312" w:hAnsi="楷体_GB2312" w:eastAsia="楷体_GB2312" w:cs="楷体_GB2312"/>
          <w:b/>
          <w:bCs/>
          <w:color w:val="auto"/>
          <w:sz w:val="28"/>
          <w:szCs w:val="28"/>
          <w:highlight w:val="none"/>
          <w:lang w:val="zh-CN"/>
        </w:rPr>
        <w:t>二、资格要求</w:t>
      </w:r>
      <w:r>
        <w:rPr>
          <w:rFonts w:hint="eastAsia" w:ascii="楷体_GB2312" w:hAnsi="楷体_GB2312" w:eastAsia="楷体_GB2312" w:cs="楷体_GB2312"/>
          <w:color w:val="auto"/>
          <w:sz w:val="28"/>
          <w:szCs w:val="28"/>
          <w:highlight w:val="none"/>
          <w:lang w:val="zh-CN"/>
        </w:rPr>
        <w:t>：</w:t>
      </w:r>
    </w:p>
    <w:p w14:paraId="46829139">
      <w:pPr>
        <w:keepNext w:val="0"/>
        <w:keepLines w:val="0"/>
        <w:pageBreakBefore w:val="0"/>
        <w:widowControl/>
        <w:kinsoku w:val="0"/>
        <w:overflowPunct/>
        <w:topLinePunct w:val="0"/>
        <w:autoSpaceDE w:val="0"/>
        <w:autoSpaceDN w:val="0"/>
        <w:bidi w:val="0"/>
        <w:adjustRightInd w:val="0"/>
        <w:snapToGrid w:val="0"/>
        <w:spacing w:beforeAutospacing="0" w:line="440" w:lineRule="exact"/>
        <w:ind w:firstLine="540"/>
        <w:jc w:val="left"/>
        <w:textAlignment w:val="baseline"/>
        <w:rPr>
          <w:rFonts w:hint="eastAsia"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1、投标人必须是有能力按照规定提供</w:t>
      </w:r>
      <w:r>
        <w:rPr>
          <w:rFonts w:hint="eastAsia" w:ascii="楷体_GB2312" w:hAnsi="楷体_GB2312" w:eastAsia="楷体_GB2312" w:cs="楷体_GB2312"/>
          <w:color w:val="auto"/>
          <w:sz w:val="28"/>
          <w:szCs w:val="28"/>
          <w:lang w:val="en-US" w:eastAsia="zh-CN"/>
        </w:rPr>
        <w:t>本次采购材料</w:t>
      </w:r>
      <w:r>
        <w:rPr>
          <w:rFonts w:hint="eastAsia" w:ascii="楷体_GB2312" w:hAnsi="楷体_GB2312" w:eastAsia="楷体_GB2312" w:cs="楷体_GB2312"/>
          <w:color w:val="auto"/>
          <w:sz w:val="28"/>
          <w:szCs w:val="28"/>
        </w:rPr>
        <w:t>的独立企业法人，不接受联合体投标。</w:t>
      </w:r>
    </w:p>
    <w:p w14:paraId="2D158444">
      <w:pPr>
        <w:keepNext w:val="0"/>
        <w:keepLines w:val="0"/>
        <w:pageBreakBefore w:val="0"/>
        <w:widowControl/>
        <w:kinsoku w:val="0"/>
        <w:overflowPunct/>
        <w:topLinePunct w:val="0"/>
        <w:autoSpaceDE w:val="0"/>
        <w:autoSpaceDN w:val="0"/>
        <w:bidi w:val="0"/>
        <w:adjustRightInd w:val="0"/>
        <w:snapToGrid w:val="0"/>
        <w:spacing w:beforeAutospacing="0" w:line="440" w:lineRule="exact"/>
        <w:ind w:firstLine="540"/>
        <w:jc w:val="left"/>
        <w:textAlignment w:val="baseline"/>
        <w:rPr>
          <w:rFonts w:hint="eastAsia"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2、投标人为代理商时，须持有制造厂商出具的合法授权或代理合同。</w:t>
      </w:r>
    </w:p>
    <w:p w14:paraId="7D8B41A8">
      <w:pPr>
        <w:autoSpaceDE w:val="0"/>
        <w:autoSpaceDN w:val="0"/>
        <w:adjustRightInd w:val="0"/>
        <w:spacing w:line="460" w:lineRule="exact"/>
        <w:ind w:firstLine="560" w:firstLineChars="200"/>
        <w:rPr>
          <w:rFonts w:hint="eastAsia" w:ascii="楷体_GB2312" w:hAnsi="楷体_GB2312" w:eastAsia="楷体_GB2312" w:cs="楷体_GB2312"/>
          <w:color w:val="auto"/>
          <w:sz w:val="28"/>
          <w:szCs w:val="28"/>
          <w:highlight w:val="none"/>
          <w:lang w:val="en-US" w:eastAsia="zh-CN"/>
        </w:rPr>
      </w:pPr>
      <w:r>
        <w:rPr>
          <w:rFonts w:hint="eastAsia" w:ascii="楷体_GB2312" w:hAnsi="楷体_GB2312" w:eastAsia="楷体_GB2312" w:cs="楷体_GB2312"/>
          <w:color w:val="auto"/>
          <w:sz w:val="28"/>
          <w:szCs w:val="28"/>
          <w:highlight w:val="none"/>
          <w:lang w:val="en-US" w:eastAsia="zh-CN"/>
        </w:rPr>
        <w:t>3、本次报价要求投标人具备中华人民共和国合法有效的营业执照，营业范围</w:t>
      </w:r>
      <w:r>
        <w:rPr>
          <w:rFonts w:hint="eastAsia" w:ascii="楷体_GB2312" w:hAnsi="楷体_GB2312" w:eastAsia="楷体_GB2312" w:cs="楷体_GB2312"/>
          <w:color w:val="auto"/>
          <w:sz w:val="28"/>
          <w:szCs w:val="28"/>
          <w:lang w:eastAsia="zh-CN"/>
        </w:rPr>
        <w:t>包含燃气经营等</w:t>
      </w:r>
      <w:r>
        <w:rPr>
          <w:rFonts w:hint="eastAsia" w:ascii="楷体_GB2312" w:hAnsi="楷体_GB2312" w:eastAsia="楷体_GB2312" w:cs="楷体_GB2312"/>
          <w:color w:val="auto"/>
          <w:sz w:val="28"/>
          <w:szCs w:val="28"/>
          <w:highlight w:val="none"/>
          <w:lang w:val="en-US" w:eastAsia="zh-CN"/>
        </w:rPr>
        <w:t>相关业务，</w:t>
      </w:r>
      <w:r>
        <w:rPr>
          <w:rFonts w:hint="eastAsia" w:ascii="楷体_GB2312" w:hAnsi="楷体_GB2312" w:eastAsia="楷体_GB2312" w:cs="楷体_GB2312"/>
          <w:color w:val="auto"/>
          <w:sz w:val="28"/>
          <w:szCs w:val="28"/>
        </w:rPr>
        <w:t>须提供</w:t>
      </w:r>
      <w:r>
        <w:rPr>
          <w:rFonts w:hint="eastAsia" w:ascii="楷体_GB2312" w:hAnsi="楷体_GB2312" w:eastAsia="楷体_GB2312" w:cs="楷体_GB2312"/>
          <w:color w:val="auto"/>
          <w:sz w:val="28"/>
          <w:szCs w:val="28"/>
          <w:lang w:eastAsia="zh-CN"/>
        </w:rPr>
        <w:t>法人身份证原件</w:t>
      </w:r>
      <w:r>
        <w:rPr>
          <w:rFonts w:hint="eastAsia" w:ascii="楷体_GB2312" w:hAnsi="楷体_GB2312" w:eastAsia="楷体_GB2312" w:cs="楷体_GB2312"/>
          <w:color w:val="auto"/>
          <w:sz w:val="28"/>
          <w:szCs w:val="28"/>
        </w:rPr>
        <w:t>或者复印件并加盖公章</w:t>
      </w:r>
      <w:r>
        <w:rPr>
          <w:rFonts w:hint="eastAsia" w:ascii="楷体_GB2312" w:hAnsi="楷体_GB2312" w:eastAsia="楷体_GB2312" w:cs="楷体_GB2312"/>
          <w:color w:val="auto"/>
          <w:sz w:val="28"/>
          <w:szCs w:val="28"/>
          <w:lang w:eastAsia="zh-CN"/>
        </w:rPr>
        <w:t>等其他相关资质</w:t>
      </w:r>
      <w:r>
        <w:rPr>
          <w:rFonts w:hint="eastAsia" w:ascii="楷体_GB2312" w:hAnsi="楷体_GB2312" w:eastAsia="楷体_GB2312" w:cs="楷体_GB2312"/>
          <w:color w:val="auto"/>
          <w:sz w:val="28"/>
          <w:szCs w:val="28"/>
          <w:highlight w:val="none"/>
          <w:lang w:val="en-US" w:eastAsia="zh-CN"/>
        </w:rPr>
        <w:t>。</w:t>
      </w:r>
    </w:p>
    <w:p w14:paraId="2DCBE48E">
      <w:pPr>
        <w:autoSpaceDE w:val="0"/>
        <w:autoSpaceDN w:val="0"/>
        <w:adjustRightInd w:val="0"/>
        <w:spacing w:line="460" w:lineRule="exact"/>
        <w:ind w:firstLine="562" w:firstLineChars="200"/>
        <w:rPr>
          <w:rFonts w:hint="eastAsia" w:ascii="楷体_GB2312" w:hAnsi="楷体_GB2312" w:eastAsia="楷体_GB2312" w:cs="楷体_GB2312"/>
          <w:color w:val="auto"/>
          <w:sz w:val="28"/>
          <w:szCs w:val="28"/>
          <w:highlight w:val="none"/>
          <w:lang w:val="zh-CN" w:eastAsia="zh-CN"/>
        </w:rPr>
      </w:pPr>
      <w:r>
        <w:rPr>
          <w:rFonts w:hint="eastAsia" w:ascii="楷体_GB2312" w:hAnsi="楷体_GB2312" w:eastAsia="楷体_GB2312" w:cs="楷体_GB2312"/>
          <w:b/>
          <w:bCs/>
          <w:color w:val="auto"/>
          <w:sz w:val="28"/>
          <w:szCs w:val="28"/>
          <w:highlight w:val="none"/>
          <w:lang w:val="en-US" w:eastAsia="zh-CN"/>
        </w:rPr>
        <w:t>4、信誉要求</w:t>
      </w:r>
      <w:r>
        <w:rPr>
          <w:rFonts w:hint="eastAsia" w:ascii="楷体_GB2312" w:hAnsi="楷体_GB2312" w:eastAsia="楷体_GB2312" w:cs="楷体_GB2312"/>
          <w:color w:val="auto"/>
          <w:sz w:val="28"/>
          <w:szCs w:val="28"/>
          <w:highlight w:val="none"/>
          <w:lang w:val="en-US" w:eastAsia="zh-CN"/>
        </w:rPr>
        <w:t>：</w:t>
      </w:r>
      <w:r>
        <w:rPr>
          <w:rFonts w:hint="eastAsia" w:ascii="楷体_GB2312" w:hAnsi="楷体_GB2312" w:eastAsia="楷体_GB2312" w:cs="楷体_GB2312"/>
          <w:color w:val="auto"/>
          <w:sz w:val="28"/>
          <w:szCs w:val="28"/>
          <w:highlight w:val="none"/>
          <w:lang w:val="zh-CN" w:eastAsia="zh-CN"/>
        </w:rPr>
        <w:t>投标人不得存在下列不良状况或不良信用记录:</w:t>
      </w:r>
    </w:p>
    <w:p w14:paraId="02B6817C">
      <w:pPr>
        <w:autoSpaceDE w:val="0"/>
        <w:autoSpaceDN w:val="0"/>
        <w:adjustRightInd w:val="0"/>
        <w:spacing w:line="460" w:lineRule="exact"/>
        <w:ind w:firstLine="560" w:firstLineChars="200"/>
        <w:rPr>
          <w:rFonts w:ascii="楷体_GB2312" w:hAnsi="楷体_GB2312" w:eastAsia="楷体_GB2312" w:cs="楷体_GB2312"/>
          <w:color w:val="auto"/>
          <w:sz w:val="28"/>
          <w:szCs w:val="28"/>
          <w:highlight w:val="none"/>
          <w:lang w:val="zh-CN"/>
        </w:rPr>
      </w:pPr>
      <w:r>
        <w:rPr>
          <w:rFonts w:hint="eastAsia" w:ascii="楷体_GB2312" w:hAnsi="楷体_GB2312" w:eastAsia="楷体_GB2312" w:cs="楷体_GB2312"/>
          <w:color w:val="auto"/>
          <w:sz w:val="28"/>
          <w:szCs w:val="28"/>
          <w:highlight w:val="none"/>
          <w:lang w:val="zh-CN"/>
        </w:rPr>
        <w:t>(1)被县级及以上交通、住建、信访等部门列入黑名单内容涉及但不限于质量、安全、恶意讨薪等方面；</w:t>
      </w:r>
    </w:p>
    <w:p w14:paraId="0CA5FD44">
      <w:pPr>
        <w:autoSpaceDE w:val="0"/>
        <w:autoSpaceDN w:val="0"/>
        <w:adjustRightInd w:val="0"/>
        <w:spacing w:line="460" w:lineRule="exact"/>
        <w:ind w:firstLine="560" w:firstLineChars="200"/>
        <w:rPr>
          <w:rFonts w:ascii="楷体_GB2312" w:hAnsi="楷体_GB2312" w:eastAsia="楷体_GB2312" w:cs="楷体_GB2312"/>
          <w:color w:val="auto"/>
          <w:sz w:val="28"/>
          <w:szCs w:val="28"/>
          <w:highlight w:val="none"/>
          <w:lang w:val="zh-CN"/>
        </w:rPr>
      </w:pPr>
      <w:r>
        <w:rPr>
          <w:rFonts w:hint="eastAsia" w:ascii="楷体_GB2312" w:hAnsi="楷体_GB2312" w:eastAsia="楷体_GB2312" w:cs="楷体_GB2312"/>
          <w:color w:val="auto"/>
          <w:sz w:val="28"/>
          <w:szCs w:val="28"/>
          <w:highlight w:val="none"/>
          <w:lang w:val="zh-CN"/>
        </w:rPr>
        <w:t>(2)被责令停业，暂扣或吊销执照，或吊销资质证书；</w:t>
      </w:r>
    </w:p>
    <w:p w14:paraId="5A65AA6C">
      <w:pPr>
        <w:keepNext w:val="0"/>
        <w:keepLines w:val="0"/>
        <w:pageBreakBefore w:val="0"/>
        <w:widowControl/>
        <w:kinsoku w:val="0"/>
        <w:wordWrap/>
        <w:overflowPunct/>
        <w:topLinePunct w:val="0"/>
        <w:autoSpaceDE w:val="0"/>
        <w:autoSpaceDN w:val="0"/>
        <w:bidi w:val="0"/>
        <w:adjustRightInd w:val="0"/>
        <w:snapToGrid w:val="0"/>
        <w:spacing w:line="460" w:lineRule="exact"/>
        <w:ind w:firstLine="560" w:firstLineChars="200"/>
        <w:textAlignment w:val="baseline"/>
        <w:rPr>
          <w:rFonts w:ascii="楷体_GB2312" w:hAnsi="楷体_GB2312" w:eastAsia="楷体_GB2312" w:cs="楷体_GB2312"/>
          <w:color w:val="auto"/>
          <w:sz w:val="28"/>
          <w:szCs w:val="28"/>
          <w:highlight w:val="none"/>
          <w:lang w:val="zh-CN"/>
        </w:rPr>
      </w:pPr>
      <w:r>
        <w:rPr>
          <w:rFonts w:hint="eastAsia" w:ascii="楷体_GB2312" w:hAnsi="楷体_GB2312" w:eastAsia="楷体_GB2312" w:cs="楷体_GB2312"/>
          <w:color w:val="auto"/>
          <w:sz w:val="28"/>
          <w:szCs w:val="28"/>
          <w:highlight w:val="none"/>
          <w:lang w:val="zh-CN"/>
        </w:rPr>
        <w:t>(3)进入清算程序，或被宣告破产，或其他丧失履约能力的情形；</w:t>
      </w:r>
    </w:p>
    <w:p w14:paraId="7662B2AD">
      <w:pPr>
        <w:autoSpaceDE w:val="0"/>
        <w:autoSpaceDN w:val="0"/>
        <w:adjustRightInd w:val="0"/>
        <w:spacing w:line="460" w:lineRule="exact"/>
        <w:ind w:firstLine="560" w:firstLineChars="200"/>
        <w:rPr>
          <w:rFonts w:ascii="楷体_GB2312" w:hAnsi="楷体_GB2312" w:eastAsia="楷体_GB2312" w:cs="楷体_GB2312"/>
          <w:color w:val="auto"/>
          <w:sz w:val="28"/>
          <w:szCs w:val="28"/>
          <w:highlight w:val="none"/>
          <w:lang w:val="zh-CN"/>
        </w:rPr>
      </w:pPr>
      <w:r>
        <w:rPr>
          <w:rFonts w:hint="eastAsia" w:ascii="楷体_GB2312" w:hAnsi="楷体_GB2312" w:eastAsia="楷体_GB2312" w:cs="楷体_GB2312"/>
          <w:color w:val="auto"/>
          <w:sz w:val="28"/>
          <w:szCs w:val="28"/>
          <w:highlight w:val="none"/>
          <w:lang w:val="zh-CN"/>
        </w:rPr>
        <w:t>(4)在国家企业信用信息公示系(http://www. gsxt. gov. cn/)中被列入严重违法失信企业名单；</w:t>
      </w:r>
    </w:p>
    <w:p w14:paraId="4454A7E4">
      <w:pPr>
        <w:autoSpaceDE w:val="0"/>
        <w:autoSpaceDN w:val="0"/>
        <w:adjustRightInd w:val="0"/>
        <w:spacing w:line="460" w:lineRule="exact"/>
        <w:ind w:firstLine="560" w:firstLineChars="200"/>
        <w:rPr>
          <w:rFonts w:ascii="楷体_GB2312" w:hAnsi="楷体_GB2312" w:eastAsia="楷体_GB2312" w:cs="楷体_GB2312"/>
          <w:color w:val="auto"/>
          <w:sz w:val="28"/>
          <w:szCs w:val="28"/>
          <w:highlight w:val="none"/>
          <w:lang w:val="zh-CN"/>
        </w:rPr>
      </w:pPr>
      <w:r>
        <w:rPr>
          <w:rFonts w:hint="eastAsia" w:ascii="楷体_GB2312" w:hAnsi="楷体_GB2312" w:eastAsia="楷体_GB2312" w:cs="楷体_GB2312"/>
          <w:color w:val="auto"/>
          <w:sz w:val="28"/>
          <w:szCs w:val="28"/>
          <w:highlight w:val="none"/>
          <w:lang w:val="zh-CN"/>
        </w:rPr>
        <w:t>(5)在“信用中国”网站(http://www. credi tchina. gov. cn/)中被列入失信被执行人名单;</w:t>
      </w:r>
    </w:p>
    <w:p w14:paraId="4607FEC2">
      <w:pPr>
        <w:autoSpaceDE w:val="0"/>
        <w:autoSpaceDN w:val="0"/>
        <w:adjustRightInd w:val="0"/>
        <w:spacing w:line="460" w:lineRule="exact"/>
        <w:ind w:firstLine="560" w:firstLineChars="200"/>
        <w:rPr>
          <w:rFonts w:ascii="楷体_GB2312" w:hAnsi="楷体_GB2312" w:eastAsia="楷体_GB2312" w:cs="楷体_GB2312"/>
          <w:color w:val="auto"/>
          <w:sz w:val="28"/>
          <w:szCs w:val="28"/>
          <w:highlight w:val="none"/>
          <w:lang w:val="zh-CN"/>
        </w:rPr>
      </w:pPr>
      <w:r>
        <w:rPr>
          <w:rFonts w:hint="eastAsia" w:ascii="楷体_GB2312" w:hAnsi="楷体_GB2312" w:eastAsia="楷体_GB2312" w:cs="楷体_GB2312"/>
          <w:color w:val="auto"/>
          <w:sz w:val="28"/>
          <w:szCs w:val="28"/>
          <w:highlight w:val="none"/>
          <w:lang w:val="zh-CN"/>
        </w:rPr>
        <w:t>(6)近三年被我单位信用评价为C级及以下信用级别的；</w:t>
      </w:r>
    </w:p>
    <w:p w14:paraId="7B236B75">
      <w:pPr>
        <w:spacing w:line="480" w:lineRule="exact"/>
        <w:ind w:firstLine="560" w:firstLineChars="200"/>
        <w:rPr>
          <w:rFonts w:hint="eastAsia" w:ascii="楷体_GB2312" w:hAnsi="楷体_GB2312" w:eastAsia="楷体_GB2312" w:cs="楷体_GB2312"/>
          <w:color w:val="auto"/>
          <w:kern w:val="0"/>
          <w:sz w:val="28"/>
          <w:szCs w:val="28"/>
          <w:highlight w:val="none"/>
          <w:lang w:val="zh-TW" w:eastAsia="zh-CN"/>
        </w:rPr>
      </w:pPr>
      <w:r>
        <w:rPr>
          <w:rFonts w:hint="eastAsia" w:ascii="楷体_GB2312" w:hAnsi="楷体_GB2312" w:eastAsia="楷体_GB2312" w:cs="楷体_GB2312"/>
          <w:color w:val="auto"/>
          <w:sz w:val="28"/>
          <w:szCs w:val="28"/>
          <w:highlight w:val="none"/>
          <w:lang w:val="zh-CN"/>
        </w:rPr>
        <w:t>(7)法律法规规定的其他情形。</w:t>
      </w:r>
    </w:p>
    <w:p w14:paraId="6A2EE929">
      <w:pPr>
        <w:keepNext w:val="0"/>
        <w:keepLines w:val="0"/>
        <w:pageBreakBefore w:val="0"/>
        <w:widowControl/>
        <w:kinsoku w:val="0"/>
        <w:overflowPunct/>
        <w:topLinePunct w:val="0"/>
        <w:autoSpaceDE w:val="0"/>
        <w:autoSpaceDN w:val="0"/>
        <w:bidi w:val="0"/>
        <w:adjustRightInd w:val="0"/>
        <w:snapToGrid w:val="0"/>
        <w:spacing w:beforeAutospacing="0" w:line="440" w:lineRule="exact"/>
        <w:ind w:firstLine="562" w:firstLineChars="200"/>
        <w:textAlignment w:val="baseline"/>
        <w:rPr>
          <w:rFonts w:hint="eastAsia" w:ascii="楷体_GB2312" w:hAnsi="楷体_GB2312" w:eastAsia="楷体_GB2312" w:cs="楷体_GB2312"/>
          <w:b/>
          <w:bCs/>
          <w:color w:val="auto"/>
          <w:sz w:val="28"/>
          <w:szCs w:val="28"/>
          <w:lang w:val="en-US" w:eastAsia="zh-CN"/>
        </w:rPr>
      </w:pPr>
      <w:r>
        <w:rPr>
          <w:rFonts w:hint="eastAsia" w:ascii="楷体_GB2312" w:hAnsi="楷体_GB2312" w:eastAsia="楷体_GB2312" w:cs="楷体_GB2312"/>
          <w:b/>
          <w:bCs/>
          <w:sz w:val="28"/>
          <w:szCs w:val="28"/>
          <w:lang w:val="en-US" w:eastAsia="zh-CN"/>
        </w:rPr>
        <w:t>三</w:t>
      </w:r>
      <w:r>
        <w:rPr>
          <w:rFonts w:hint="eastAsia" w:ascii="楷体_GB2312" w:hAnsi="楷体_GB2312" w:eastAsia="楷体_GB2312" w:cs="楷体_GB2312"/>
          <w:b/>
          <w:bCs/>
          <w:color w:val="auto"/>
          <w:sz w:val="28"/>
          <w:szCs w:val="28"/>
          <w:lang w:val="en-US" w:eastAsia="zh-CN"/>
        </w:rPr>
        <w:t>、供货期及物资质量响应要求：</w:t>
      </w:r>
    </w:p>
    <w:p w14:paraId="10947EE2">
      <w:pPr>
        <w:keepNext w:val="0"/>
        <w:keepLines w:val="0"/>
        <w:pageBreakBefore w:val="0"/>
        <w:widowControl/>
        <w:kinsoku w:val="0"/>
        <w:overflowPunct/>
        <w:topLinePunct w:val="0"/>
        <w:autoSpaceDE w:val="0"/>
        <w:autoSpaceDN w:val="0"/>
        <w:bidi w:val="0"/>
        <w:adjustRightInd w:val="0"/>
        <w:snapToGrid w:val="0"/>
        <w:spacing w:beforeAutospacing="0" w:line="440" w:lineRule="exact"/>
        <w:ind w:firstLine="560"/>
        <w:textAlignment w:val="baseline"/>
        <w:rPr>
          <w:rFonts w:hint="eastAsia" w:ascii="楷体_GB2312" w:hAnsi="楷体_GB2312" w:eastAsia="楷体_GB2312" w:cs="楷体_GB2312"/>
          <w:color w:val="auto"/>
          <w:sz w:val="28"/>
          <w:szCs w:val="28"/>
          <w:lang w:eastAsia="zh-CN"/>
        </w:rPr>
      </w:pPr>
      <w:r>
        <w:rPr>
          <w:rFonts w:ascii="楷体_GB2312" w:hAnsi="楷体_GB2312" w:eastAsia="楷体_GB2312" w:cs="楷体_GB2312"/>
          <w:color w:val="auto"/>
          <w:sz w:val="28"/>
          <w:szCs w:val="28"/>
        </w:rPr>
        <w:t>1、</w:t>
      </w:r>
      <w:r>
        <w:rPr>
          <w:rFonts w:hint="eastAsia" w:ascii="楷体_GB2312" w:hAnsi="楷体_GB2312" w:eastAsia="楷体_GB2312" w:cs="楷体_GB2312"/>
          <w:color w:val="auto"/>
          <w:sz w:val="28"/>
          <w:szCs w:val="28"/>
        </w:rPr>
        <w:t>供货日期：</w:t>
      </w:r>
      <w:r>
        <w:rPr>
          <w:rFonts w:hint="eastAsia" w:ascii="楷体_GB2312" w:hAnsi="楷体_GB2312" w:eastAsia="楷体_GB2312" w:cs="楷体_GB2312"/>
          <w:color w:val="auto"/>
          <w:sz w:val="28"/>
          <w:szCs w:val="28"/>
          <w:lang w:eastAsia="zh-CN"/>
        </w:rPr>
        <w:t>根据甲方要求。</w:t>
      </w:r>
    </w:p>
    <w:p w14:paraId="46C1967A">
      <w:pPr>
        <w:keepNext w:val="0"/>
        <w:keepLines w:val="0"/>
        <w:pageBreakBefore w:val="0"/>
        <w:widowControl/>
        <w:kinsoku w:val="0"/>
        <w:overflowPunct/>
        <w:topLinePunct w:val="0"/>
        <w:autoSpaceDE w:val="0"/>
        <w:autoSpaceDN w:val="0"/>
        <w:bidi w:val="0"/>
        <w:adjustRightInd w:val="0"/>
        <w:snapToGrid w:val="0"/>
        <w:spacing w:beforeAutospacing="0" w:line="440" w:lineRule="exact"/>
        <w:ind w:firstLine="560"/>
        <w:textAlignment w:val="baseline"/>
        <w:rPr>
          <w:rFonts w:hint="eastAsia" w:ascii="楷体_GB2312" w:hAnsi="楷体_GB2312" w:eastAsia="楷体_GB2312" w:cs="楷体_GB2312"/>
          <w:sz w:val="28"/>
          <w:szCs w:val="28"/>
          <w:lang w:val="en-US" w:eastAsia="zh-CN"/>
        </w:rPr>
      </w:pPr>
      <w:r>
        <w:rPr>
          <w:rFonts w:ascii="楷体_GB2312" w:hAnsi="楷体_GB2312" w:eastAsia="楷体_GB2312" w:cs="楷体_GB2312"/>
          <w:sz w:val="28"/>
          <w:szCs w:val="28"/>
        </w:rPr>
        <w:t>2、</w:t>
      </w:r>
      <w:r>
        <w:rPr>
          <w:rFonts w:hint="eastAsia" w:ascii="楷体_GB2312" w:hAnsi="楷体_GB2312" w:eastAsia="楷体_GB2312" w:cs="楷体_GB2312"/>
          <w:sz w:val="28"/>
          <w:szCs w:val="28"/>
        </w:rPr>
        <w:t>交货日期：接到送货通知后三日内送货至甲方通知送货地点</w:t>
      </w:r>
      <w:r>
        <w:rPr>
          <w:rFonts w:hint="eastAsia" w:ascii="楷体_GB2312" w:hAnsi="楷体_GB2312" w:eastAsia="楷体_GB2312" w:cs="楷体_GB2312"/>
          <w:sz w:val="28"/>
          <w:szCs w:val="28"/>
          <w:lang w:eastAsia="zh-CN"/>
        </w:rPr>
        <w:t>。</w:t>
      </w:r>
    </w:p>
    <w:p w14:paraId="280E7289">
      <w:pPr>
        <w:keepNext w:val="0"/>
        <w:keepLines w:val="0"/>
        <w:pageBreakBefore w:val="0"/>
        <w:widowControl/>
        <w:kinsoku w:val="0"/>
        <w:overflowPunct/>
        <w:topLinePunct w:val="0"/>
        <w:autoSpaceDE w:val="0"/>
        <w:autoSpaceDN w:val="0"/>
        <w:bidi w:val="0"/>
        <w:adjustRightInd w:val="0"/>
        <w:snapToGrid w:val="0"/>
        <w:spacing w:beforeAutospacing="0" w:line="440" w:lineRule="exact"/>
        <w:ind w:firstLine="560" w:firstLineChars="200"/>
        <w:textAlignment w:val="baseline"/>
        <w:rPr>
          <w:rFonts w:ascii="楷体_GB2312" w:hAnsi="楷体_GB2312" w:eastAsia="楷体_GB2312" w:cs="楷体_GB2312"/>
          <w:sz w:val="28"/>
          <w:szCs w:val="28"/>
        </w:rPr>
      </w:pPr>
      <w:r>
        <w:rPr>
          <w:rFonts w:hint="eastAsia" w:ascii="楷体_GB2312" w:hAnsi="楷体_GB2312" w:eastAsia="楷体_GB2312" w:cs="楷体_GB2312"/>
          <w:sz w:val="28"/>
          <w:szCs w:val="28"/>
          <w:lang w:val="en-US" w:eastAsia="zh-CN"/>
        </w:rPr>
        <w:t>3</w:t>
      </w:r>
      <w:r>
        <w:rPr>
          <w:rFonts w:ascii="楷体_GB2312" w:hAnsi="楷体_GB2312" w:eastAsia="楷体_GB2312" w:cs="楷体_GB2312"/>
          <w:sz w:val="28"/>
          <w:szCs w:val="28"/>
        </w:rPr>
        <w:t>、本</w:t>
      </w:r>
      <w:r>
        <w:rPr>
          <w:rFonts w:hint="eastAsia" w:ascii="楷体_GB2312" w:hAnsi="楷体_GB2312" w:eastAsia="楷体_GB2312" w:cs="楷体_GB2312"/>
          <w:sz w:val="28"/>
          <w:szCs w:val="28"/>
          <w:lang w:val="en-US" w:eastAsia="zh-CN"/>
        </w:rPr>
        <w:t>物资</w:t>
      </w:r>
      <w:r>
        <w:rPr>
          <w:rFonts w:ascii="楷体_GB2312" w:hAnsi="楷体_GB2312" w:eastAsia="楷体_GB2312" w:cs="楷体_GB2312"/>
          <w:sz w:val="28"/>
          <w:szCs w:val="28"/>
        </w:rPr>
        <w:t>质量标准为：</w:t>
      </w:r>
      <w:r>
        <w:rPr>
          <w:rFonts w:ascii="楷体_GB2312" w:hAnsi="楷体_GB2312" w:eastAsia="楷体_GB2312" w:cs="楷体_GB2312"/>
          <w:b/>
          <w:bCs/>
          <w:sz w:val="28"/>
          <w:szCs w:val="28"/>
        </w:rPr>
        <w:t>合格，</w:t>
      </w:r>
      <w:r>
        <w:rPr>
          <w:rFonts w:ascii="楷体_GB2312" w:hAnsi="楷体_GB2312" w:eastAsia="楷体_GB2312" w:cs="楷体_GB2312"/>
          <w:sz w:val="28"/>
          <w:szCs w:val="28"/>
        </w:rPr>
        <w:t>且需满足甲方的设计及使用要求，质量标准的评定以现行国家或行业的质量检验评定标准为依据。</w:t>
      </w:r>
    </w:p>
    <w:p w14:paraId="6E54A8D7">
      <w:pPr>
        <w:keepNext w:val="0"/>
        <w:keepLines w:val="0"/>
        <w:pageBreakBefore w:val="0"/>
        <w:widowControl/>
        <w:kinsoku w:val="0"/>
        <w:overflowPunct/>
        <w:topLinePunct w:val="0"/>
        <w:autoSpaceDE w:val="0"/>
        <w:autoSpaceDN w:val="0"/>
        <w:bidi w:val="0"/>
        <w:adjustRightInd w:val="0"/>
        <w:snapToGrid w:val="0"/>
        <w:spacing w:beforeAutospacing="0" w:line="440" w:lineRule="exact"/>
        <w:ind w:firstLine="560" w:firstLineChars="200"/>
        <w:textAlignment w:val="baseline"/>
        <w:rPr>
          <w:rFonts w:ascii="楷体_GB2312" w:hAnsi="楷体_GB2312" w:eastAsia="楷体_GB2312" w:cs="楷体_GB2312"/>
          <w:sz w:val="28"/>
          <w:szCs w:val="28"/>
        </w:rPr>
      </w:pPr>
      <w:r>
        <w:rPr>
          <w:rFonts w:hint="eastAsia" w:ascii="楷体_GB2312" w:hAnsi="楷体_GB2312" w:eastAsia="楷体_GB2312" w:cs="楷体_GB2312"/>
          <w:sz w:val="28"/>
          <w:szCs w:val="28"/>
          <w:lang w:val="en-US" w:eastAsia="zh-CN"/>
        </w:rPr>
        <w:t>必须符合GB11174-2011《液化石油气》标准中95号商品丙烷液化石油气标准，丙烷必须由卖方组建专用槽车运输，标的物从生产、运输、储存、装卸、人员、停放直至泵入到买方再生列车燃料罐前的全部安全风险、责任及相关费用均由卖方自行承担。</w:t>
      </w:r>
    </w:p>
    <w:p w14:paraId="226F0734">
      <w:pPr>
        <w:autoSpaceDE w:val="0"/>
        <w:autoSpaceDN w:val="0"/>
        <w:spacing w:line="460" w:lineRule="exact"/>
        <w:ind w:firstLine="560"/>
        <w:rPr>
          <w:rFonts w:hint="eastAsia" w:ascii="楷体_GB2312" w:hAnsi="楷体_GB2312" w:eastAsia="楷体_GB2312" w:cs="楷体_GB2312"/>
          <w:b/>
          <w:bCs/>
          <w:sz w:val="28"/>
          <w:szCs w:val="28"/>
          <w:highlight w:val="none"/>
          <w:lang w:eastAsia="zh-CN"/>
        </w:rPr>
      </w:pPr>
      <w:r>
        <w:rPr>
          <w:rFonts w:hint="eastAsia" w:ascii="楷体_GB2312" w:hAnsi="楷体_GB2312" w:eastAsia="楷体_GB2312" w:cs="楷体_GB2312"/>
          <w:snapToGrid w:val="0"/>
          <w:color w:val="000000"/>
          <w:kern w:val="0"/>
          <w:sz w:val="28"/>
          <w:szCs w:val="28"/>
          <w:highlight w:val="none"/>
          <w:lang w:val="en-US" w:eastAsia="zh-CN" w:bidi="ar-SA"/>
        </w:rPr>
        <w:t>4、</w:t>
      </w:r>
      <w:r>
        <w:rPr>
          <w:rFonts w:hint="eastAsia" w:ascii="楷体_GB2312" w:hAnsi="楷体_GB2312" w:eastAsia="楷体_GB2312" w:cs="楷体_GB2312"/>
          <w:sz w:val="28"/>
          <w:szCs w:val="28"/>
          <w:highlight w:val="none"/>
        </w:rPr>
        <w:t>安全目标</w:t>
      </w:r>
      <w:r>
        <w:rPr>
          <w:rFonts w:hint="eastAsia" w:ascii="楷体_GB2312" w:hAnsi="楷体_GB2312" w:eastAsia="楷体_GB2312" w:cs="楷体_GB2312"/>
          <w:sz w:val="28"/>
          <w:szCs w:val="28"/>
          <w:highlight w:val="none"/>
          <w:lang w:eastAsia="zh-CN"/>
        </w:rPr>
        <w:t>：</w:t>
      </w:r>
      <w:r>
        <w:rPr>
          <w:rFonts w:hint="eastAsia" w:ascii="楷体_GB2312" w:hAnsi="楷体_GB2312" w:eastAsia="楷体_GB2312" w:cs="楷体_GB2312"/>
          <w:b/>
          <w:bCs/>
          <w:sz w:val="28"/>
          <w:szCs w:val="28"/>
          <w:highlight w:val="none"/>
        </w:rPr>
        <w:t>项目实施中无安全责任事故</w:t>
      </w:r>
      <w:r>
        <w:rPr>
          <w:rFonts w:hint="eastAsia" w:ascii="楷体_GB2312" w:hAnsi="楷体_GB2312" w:eastAsia="楷体_GB2312" w:cs="楷体_GB2312"/>
          <w:sz w:val="28"/>
          <w:szCs w:val="28"/>
          <w:highlight w:val="none"/>
          <w:lang w:eastAsia="zh-CN"/>
        </w:rPr>
        <w:t>；</w:t>
      </w:r>
      <w:r>
        <w:rPr>
          <w:rFonts w:hint="eastAsia" w:ascii="楷体_GB2312" w:hAnsi="楷体_GB2312" w:eastAsia="楷体_GB2312" w:cs="楷体_GB2312"/>
          <w:sz w:val="28"/>
          <w:szCs w:val="28"/>
          <w:highlight w:val="none"/>
        </w:rPr>
        <w:t>环保目标</w:t>
      </w:r>
      <w:r>
        <w:rPr>
          <w:rFonts w:hint="eastAsia" w:ascii="楷体_GB2312" w:hAnsi="楷体_GB2312" w:eastAsia="楷体_GB2312" w:cs="楷体_GB2312"/>
          <w:sz w:val="28"/>
          <w:szCs w:val="28"/>
          <w:highlight w:val="none"/>
          <w:lang w:eastAsia="zh-CN"/>
        </w:rPr>
        <w:t>：</w:t>
      </w:r>
      <w:r>
        <w:rPr>
          <w:rFonts w:hint="eastAsia" w:ascii="楷体_GB2312" w:hAnsi="楷体_GB2312" w:eastAsia="楷体_GB2312" w:cs="楷体_GB2312"/>
          <w:b/>
          <w:bCs/>
          <w:sz w:val="28"/>
          <w:szCs w:val="28"/>
          <w:highlight w:val="none"/>
        </w:rPr>
        <w:t>项目实施中无较大及以上环境事件发生</w:t>
      </w:r>
      <w:r>
        <w:rPr>
          <w:rFonts w:hint="eastAsia" w:ascii="楷体_GB2312" w:hAnsi="楷体_GB2312" w:eastAsia="楷体_GB2312" w:cs="楷体_GB2312"/>
          <w:b/>
          <w:bCs/>
          <w:sz w:val="28"/>
          <w:szCs w:val="28"/>
          <w:highlight w:val="none"/>
          <w:lang w:eastAsia="zh-CN"/>
        </w:rPr>
        <w:t>。</w:t>
      </w:r>
    </w:p>
    <w:p w14:paraId="73BB0072">
      <w:pPr>
        <w:keepNext w:val="0"/>
        <w:keepLines w:val="0"/>
        <w:pageBreakBefore w:val="0"/>
        <w:widowControl w:val="0"/>
        <w:numPr>
          <w:ilvl w:val="0"/>
          <w:numId w:val="1"/>
        </w:numPr>
        <w:kinsoku/>
        <w:wordWrap/>
        <w:overflowPunct/>
        <w:topLinePunct w:val="0"/>
        <w:autoSpaceDE w:val="0"/>
        <w:autoSpaceDN w:val="0"/>
        <w:bidi w:val="0"/>
        <w:adjustRightInd w:val="0"/>
        <w:snapToGrid/>
        <w:spacing w:line="440" w:lineRule="exact"/>
        <w:ind w:firstLine="560" w:firstLineChars="200"/>
        <w:textAlignment w:val="auto"/>
        <w:rPr>
          <w:rFonts w:hint="eastAsia"/>
          <w:lang w:val="zh-CN" w:eastAsia="zh-TW"/>
        </w:rPr>
      </w:pPr>
      <w:r>
        <w:rPr>
          <w:rFonts w:hint="eastAsia" w:ascii="楷体_GB2312" w:hAnsi="楷体_GB2312" w:eastAsia="楷体_GB2312" w:cs="楷体_GB2312"/>
          <w:color w:val="auto"/>
          <w:kern w:val="0"/>
          <w:sz w:val="28"/>
          <w:szCs w:val="28"/>
          <w:lang w:val="en-US" w:eastAsia="zh-CN"/>
        </w:rPr>
        <w:t>要求乙方设备满足现场施工要求，否则因乙方设备原因造成甲方返工或其它损失，由乙方负责赔偿</w:t>
      </w:r>
      <w:r>
        <w:rPr>
          <w:rFonts w:hint="eastAsia" w:ascii="楷体_GB2312" w:hAnsi="楷体_GB2312" w:eastAsia="楷体_GB2312" w:cs="楷体_GB2312"/>
          <w:color w:val="auto"/>
          <w:kern w:val="0"/>
          <w:sz w:val="28"/>
          <w:szCs w:val="28"/>
          <w:lang w:val="zh-CN" w:eastAsia="zh-TW"/>
        </w:rPr>
        <w:t>。</w:t>
      </w:r>
    </w:p>
    <w:p w14:paraId="0F886CA3">
      <w:pPr>
        <w:keepNext w:val="0"/>
        <w:keepLines w:val="0"/>
        <w:pageBreakBefore w:val="0"/>
        <w:widowControl w:val="0"/>
        <w:kinsoku/>
        <w:wordWrap/>
        <w:overflowPunct/>
        <w:topLinePunct w:val="0"/>
        <w:autoSpaceDE w:val="0"/>
        <w:autoSpaceDN w:val="0"/>
        <w:bidi w:val="0"/>
        <w:adjustRightInd w:val="0"/>
        <w:snapToGrid/>
        <w:spacing w:line="440" w:lineRule="exact"/>
        <w:ind w:firstLine="560" w:firstLineChars="200"/>
        <w:textAlignment w:val="auto"/>
        <w:rPr>
          <w:rFonts w:hint="eastAsia" w:ascii="楷体_GB2312" w:hAnsi="楷体_GB2312" w:eastAsia="楷体_GB2312" w:cs="楷体_GB2312"/>
          <w:color w:val="auto"/>
          <w:kern w:val="0"/>
          <w:sz w:val="28"/>
          <w:szCs w:val="28"/>
          <w:lang w:val="zh-CN" w:eastAsia="zh-TW"/>
        </w:rPr>
      </w:pPr>
      <w:r>
        <w:rPr>
          <w:rFonts w:hint="eastAsia" w:ascii="楷体_GB2312" w:hAnsi="楷体_GB2312" w:eastAsia="楷体_GB2312" w:cs="楷体_GB2312"/>
          <w:color w:val="auto"/>
          <w:kern w:val="0"/>
          <w:sz w:val="28"/>
          <w:szCs w:val="28"/>
          <w:lang w:val="en-US" w:eastAsia="zh-CN"/>
        </w:rPr>
        <w:t>6</w:t>
      </w:r>
      <w:r>
        <w:rPr>
          <w:rFonts w:hint="eastAsia" w:ascii="楷体_GB2312" w:hAnsi="楷体_GB2312" w:eastAsia="楷体_GB2312" w:cs="楷体_GB2312"/>
          <w:color w:val="auto"/>
          <w:kern w:val="0"/>
          <w:sz w:val="28"/>
          <w:szCs w:val="28"/>
          <w:lang w:val="zh-CN" w:eastAsia="zh-TW"/>
        </w:rPr>
        <w:t>、在</w:t>
      </w:r>
      <w:r>
        <w:rPr>
          <w:rFonts w:hint="eastAsia" w:ascii="楷体_GB2312" w:hAnsi="楷体_GB2312" w:eastAsia="楷体_GB2312" w:cs="楷体_GB2312"/>
          <w:color w:val="auto"/>
          <w:kern w:val="0"/>
          <w:sz w:val="28"/>
          <w:szCs w:val="28"/>
          <w:lang w:val="en-US" w:eastAsia="zh-CN"/>
        </w:rPr>
        <w:t>操作</w:t>
      </w:r>
      <w:r>
        <w:rPr>
          <w:rFonts w:hint="eastAsia" w:ascii="楷体_GB2312" w:hAnsi="楷体_GB2312" w:eastAsia="楷体_GB2312" w:cs="楷体_GB2312"/>
          <w:color w:val="auto"/>
          <w:kern w:val="0"/>
          <w:sz w:val="28"/>
          <w:szCs w:val="28"/>
          <w:lang w:val="zh-CN" w:eastAsia="zh-TW"/>
        </w:rPr>
        <w:t>程中，注意施工现场安全文明施工，出现任何安全及环保问题由乙方负责，相应费用由乙方承担。</w:t>
      </w:r>
    </w:p>
    <w:p w14:paraId="6E541E40">
      <w:pPr>
        <w:keepNext w:val="0"/>
        <w:keepLines w:val="0"/>
        <w:pageBreakBefore w:val="0"/>
        <w:widowControl w:val="0"/>
        <w:kinsoku/>
        <w:wordWrap/>
        <w:overflowPunct/>
        <w:topLinePunct w:val="0"/>
        <w:autoSpaceDE w:val="0"/>
        <w:autoSpaceDN w:val="0"/>
        <w:bidi w:val="0"/>
        <w:adjustRightInd w:val="0"/>
        <w:snapToGrid/>
        <w:spacing w:line="440" w:lineRule="exact"/>
        <w:ind w:firstLine="560" w:firstLineChars="200"/>
        <w:textAlignment w:val="auto"/>
        <w:rPr>
          <w:rFonts w:hint="default" w:ascii="楷体_GB2312" w:hAnsi="楷体_GB2312" w:eastAsia="楷体_GB2312" w:cs="楷体_GB2312"/>
          <w:color w:val="auto"/>
          <w:kern w:val="0"/>
          <w:sz w:val="28"/>
          <w:szCs w:val="28"/>
          <w:lang w:val="en-US" w:eastAsia="zh-CN"/>
        </w:rPr>
      </w:pPr>
      <w:r>
        <w:rPr>
          <w:rFonts w:hint="eastAsia" w:ascii="楷体_GB2312" w:hAnsi="楷体_GB2312" w:eastAsia="楷体_GB2312" w:cs="楷体_GB2312"/>
          <w:color w:val="auto"/>
          <w:kern w:val="0"/>
          <w:sz w:val="28"/>
          <w:szCs w:val="28"/>
          <w:lang w:val="en-US" w:eastAsia="zh-CN"/>
        </w:rPr>
        <w:t>7</w:t>
      </w:r>
      <w:r>
        <w:rPr>
          <w:rFonts w:hint="eastAsia" w:ascii="楷体_GB2312" w:hAnsi="楷体_GB2312" w:eastAsia="楷体_GB2312" w:cs="楷体_GB2312"/>
          <w:color w:val="auto"/>
          <w:kern w:val="0"/>
          <w:sz w:val="28"/>
          <w:szCs w:val="28"/>
          <w:lang w:val="zh-CN" w:eastAsia="zh-TW"/>
        </w:rPr>
        <w:t>、安全生产：中标单位与甲方签订安全生产协议，中标单位为所有进场作业人员投保人身意外伤害险。</w:t>
      </w:r>
    </w:p>
    <w:p w14:paraId="16968BEB">
      <w:pPr>
        <w:autoSpaceDE w:val="0"/>
        <w:autoSpaceDN w:val="0"/>
        <w:adjustRightInd w:val="0"/>
        <w:spacing w:line="460" w:lineRule="exact"/>
        <w:ind w:firstLine="562" w:firstLineChars="200"/>
        <w:rPr>
          <w:rFonts w:hint="eastAsia" w:ascii="楷体_GB2312" w:hAnsi="楷体_GB2312" w:eastAsia="楷体_GB2312" w:cs="楷体_GB2312"/>
          <w:b/>
          <w:bCs/>
          <w:color w:val="auto"/>
          <w:sz w:val="28"/>
          <w:szCs w:val="28"/>
          <w:highlight w:val="none"/>
          <w:lang w:val="en-US" w:eastAsia="zh-CN"/>
        </w:rPr>
      </w:pPr>
      <w:r>
        <w:rPr>
          <w:rFonts w:hint="eastAsia" w:ascii="楷体_GB2312" w:hAnsi="楷体_GB2312" w:eastAsia="楷体_GB2312" w:cs="楷体_GB2312"/>
          <w:b/>
          <w:bCs/>
          <w:color w:val="auto"/>
          <w:sz w:val="28"/>
          <w:szCs w:val="28"/>
          <w:highlight w:val="none"/>
          <w:lang w:val="en-US" w:eastAsia="zh-CN"/>
        </w:rPr>
        <w:t>四、工程施工内容以及影响工程报价的因素说明</w:t>
      </w:r>
    </w:p>
    <w:p w14:paraId="2FA4538E">
      <w:pPr>
        <w:keepNext w:val="0"/>
        <w:keepLines w:val="0"/>
        <w:pageBreakBefore w:val="0"/>
        <w:widowControl/>
        <w:kinsoku w:val="0"/>
        <w:overflowPunct/>
        <w:topLinePunct w:val="0"/>
        <w:autoSpaceDE w:val="0"/>
        <w:autoSpaceDN w:val="0"/>
        <w:bidi w:val="0"/>
        <w:adjustRightInd w:val="0"/>
        <w:snapToGrid w:val="0"/>
        <w:spacing w:beforeAutospacing="0" w:line="440" w:lineRule="exact"/>
        <w:ind w:firstLine="560"/>
        <w:textAlignment w:val="baseline"/>
        <w:rPr>
          <w:rFonts w:hint="eastAsia" w:ascii="楷体_GB2312" w:hAnsi="楷体_GB2312" w:eastAsia="楷体_GB2312" w:cs="楷体_GB2312"/>
          <w:color w:val="auto"/>
          <w:sz w:val="28"/>
          <w:szCs w:val="28"/>
          <w:highlight w:val="none"/>
          <w:u w:val="none"/>
          <w:lang w:val="en-US" w:eastAsia="zh-CN"/>
        </w:rPr>
      </w:pPr>
      <w:r>
        <w:rPr>
          <w:rFonts w:ascii="楷体_GB2312" w:hAnsi="楷体_GB2312" w:eastAsia="楷体_GB2312" w:cs="楷体_GB2312"/>
          <w:color w:val="auto"/>
          <w:sz w:val="28"/>
          <w:szCs w:val="28"/>
          <w:highlight w:val="none"/>
        </w:rPr>
        <w:t>1、</w:t>
      </w:r>
      <w:r>
        <w:rPr>
          <w:rFonts w:hint="eastAsia" w:ascii="楷体_GB2312" w:hAnsi="楷体_GB2312" w:eastAsia="楷体_GB2312" w:cs="楷体_GB2312"/>
          <w:color w:val="auto"/>
          <w:sz w:val="28"/>
          <w:szCs w:val="28"/>
          <w:highlight w:val="none"/>
          <w:u w:val="none"/>
          <w:lang w:val="en-US" w:eastAsia="zh-CN"/>
        </w:rPr>
        <w:t>控制单价：</w:t>
      </w:r>
      <w:r>
        <w:rPr>
          <w:rFonts w:hint="eastAsia" w:ascii="楷体_GB2312" w:hAnsi="楷体_GB2312" w:eastAsia="楷体_GB2312" w:cs="楷体_GB2312"/>
          <w:color w:val="auto"/>
          <w:sz w:val="28"/>
          <w:szCs w:val="28"/>
          <w:highlight w:val="none"/>
          <w:u w:val="single"/>
          <w:lang w:val="en-US" w:eastAsia="zh-CN"/>
        </w:rPr>
        <w:t>6300.00元/吨</w:t>
      </w:r>
      <w:r>
        <w:rPr>
          <w:rFonts w:hint="eastAsia" w:ascii="楷体_GB2312" w:hAnsi="楷体_GB2312" w:eastAsia="楷体_GB2312" w:cs="楷体_GB2312"/>
          <w:color w:val="auto"/>
          <w:sz w:val="28"/>
          <w:szCs w:val="28"/>
          <w:highlight w:val="none"/>
          <w:u w:val="none"/>
          <w:lang w:val="en-US" w:eastAsia="zh-CN"/>
        </w:rPr>
        <w:t>，</w:t>
      </w:r>
      <w:r>
        <w:rPr>
          <w:rFonts w:ascii="楷体_GB2312" w:hAnsi="楷体_GB2312" w:eastAsia="楷体_GB2312" w:cs="楷体_GB2312"/>
          <w:sz w:val="28"/>
          <w:szCs w:val="28"/>
        </w:rPr>
        <w:t>控制</w:t>
      </w:r>
      <w:r>
        <w:rPr>
          <w:rFonts w:hint="eastAsia" w:ascii="楷体_GB2312" w:hAnsi="楷体_GB2312" w:eastAsia="楷体_GB2312" w:cs="楷体_GB2312"/>
          <w:sz w:val="28"/>
          <w:szCs w:val="28"/>
          <w:lang w:val="en-US" w:eastAsia="zh-CN"/>
        </w:rPr>
        <w:t>总</w:t>
      </w:r>
      <w:r>
        <w:rPr>
          <w:rFonts w:ascii="楷体_GB2312" w:hAnsi="楷体_GB2312" w:eastAsia="楷体_GB2312" w:cs="楷体_GB2312"/>
          <w:sz w:val="28"/>
          <w:szCs w:val="28"/>
        </w:rPr>
        <w:t>价：</w:t>
      </w:r>
      <w:r>
        <w:rPr>
          <w:rFonts w:hint="eastAsia" w:ascii="楷体_GB2312" w:hAnsi="楷体_GB2312" w:eastAsia="楷体_GB2312" w:cs="楷体_GB2312"/>
          <w:sz w:val="28"/>
          <w:szCs w:val="28"/>
          <w:highlight w:val="none"/>
        </w:rPr>
        <w:t>小写：</w:t>
      </w:r>
      <w:r>
        <w:rPr>
          <w:rFonts w:hint="eastAsia" w:ascii="楷体_GB2312" w:hAnsi="楷体_GB2312" w:eastAsia="楷体_GB2312" w:cs="楷体_GB2312"/>
          <w:sz w:val="28"/>
          <w:szCs w:val="28"/>
          <w:highlight w:val="none"/>
          <w:u w:val="single"/>
          <w:lang w:val="en-US" w:eastAsia="zh-CN"/>
        </w:rPr>
        <w:t>756000.00元</w:t>
      </w:r>
      <w:r>
        <w:rPr>
          <w:rFonts w:hint="eastAsia" w:ascii="楷体_GB2312" w:hAnsi="楷体_GB2312" w:eastAsia="楷体_GB2312" w:cs="楷体_GB2312"/>
          <w:sz w:val="28"/>
          <w:szCs w:val="28"/>
          <w:highlight w:val="none"/>
        </w:rPr>
        <w:t>；大写</w:t>
      </w:r>
      <w:r>
        <w:rPr>
          <w:rFonts w:hint="eastAsia" w:ascii="楷体_GB2312" w:hAnsi="楷体_GB2312" w:eastAsia="楷体_GB2312" w:cs="楷体_GB2312"/>
          <w:sz w:val="28"/>
          <w:szCs w:val="28"/>
          <w:highlight w:val="none"/>
          <w:lang w:eastAsia="zh-CN"/>
        </w:rPr>
        <w:t>：</w:t>
      </w:r>
      <w:r>
        <w:rPr>
          <w:rFonts w:hint="eastAsia" w:ascii="楷体_GB2312" w:hAnsi="楷体_GB2312" w:eastAsia="楷体_GB2312" w:cs="楷体_GB2312"/>
          <w:color w:val="auto"/>
          <w:sz w:val="28"/>
          <w:szCs w:val="28"/>
          <w:highlight w:val="none"/>
          <w:u w:val="single"/>
          <w:lang w:val="en-US" w:eastAsia="zh-CN"/>
        </w:rPr>
        <w:t>柒拾伍万陆仟圆整（不含税）</w:t>
      </w:r>
      <w:r>
        <w:rPr>
          <w:rFonts w:hint="eastAsia" w:ascii="楷体_GB2312" w:hAnsi="楷体_GB2312" w:eastAsia="楷体_GB2312" w:cs="楷体_GB2312"/>
          <w:color w:val="auto"/>
          <w:sz w:val="28"/>
          <w:szCs w:val="28"/>
          <w:highlight w:val="none"/>
          <w:u w:val="none"/>
          <w:lang w:val="en-US" w:eastAsia="zh-CN"/>
        </w:rPr>
        <w:t>。（超出总价控制价或者单价控制价均按无效价处理）。</w:t>
      </w:r>
    </w:p>
    <w:p w14:paraId="561A69DC">
      <w:pPr>
        <w:autoSpaceDE w:val="0"/>
        <w:autoSpaceDN w:val="0"/>
        <w:spacing w:line="460" w:lineRule="exact"/>
        <w:ind w:firstLine="560"/>
        <w:rPr>
          <w:rFonts w:ascii="楷体_GB2312" w:hAnsi="楷体_GB2312" w:eastAsia="楷体_GB2312" w:cs="楷体_GB2312"/>
          <w:color w:val="auto"/>
          <w:sz w:val="28"/>
          <w:szCs w:val="28"/>
          <w:highlight w:val="none"/>
        </w:rPr>
      </w:pPr>
      <w:r>
        <w:rPr>
          <w:rFonts w:ascii="楷体_GB2312" w:hAnsi="楷体_GB2312" w:eastAsia="楷体_GB2312" w:cs="楷体_GB2312"/>
          <w:color w:val="auto"/>
          <w:sz w:val="28"/>
          <w:szCs w:val="28"/>
          <w:highlight w:val="none"/>
        </w:rPr>
        <w:t>2、</w:t>
      </w:r>
      <w:r>
        <w:rPr>
          <w:rFonts w:ascii="楷体_GB2312" w:hAnsi="楷体_GB2312" w:eastAsia="楷体_GB2312" w:cs="楷体_GB2312"/>
          <w:sz w:val="28"/>
          <w:szCs w:val="28"/>
        </w:rPr>
        <w:t>投标单价均为</w:t>
      </w:r>
      <w:r>
        <w:rPr>
          <w:rFonts w:hint="eastAsia" w:ascii="楷体_GB2312" w:hAnsi="楷体_GB2312" w:eastAsia="楷体_GB2312" w:cs="楷体_GB2312"/>
          <w:sz w:val="28"/>
          <w:szCs w:val="28"/>
          <w:lang w:eastAsia="zh-CN"/>
        </w:rPr>
        <w:t>不含税</w:t>
      </w:r>
      <w:r>
        <w:rPr>
          <w:rFonts w:ascii="楷体_GB2312" w:hAnsi="楷体_GB2312" w:eastAsia="楷体_GB2312" w:cs="楷体_GB2312"/>
          <w:sz w:val="28"/>
          <w:szCs w:val="28"/>
        </w:rPr>
        <w:t>单价，</w:t>
      </w:r>
      <w:r>
        <w:rPr>
          <w:rFonts w:ascii="楷体_GB2312" w:hAnsi="楷体_GB2312" w:eastAsia="楷体_GB2312" w:cs="楷体_GB2312"/>
          <w:sz w:val="28"/>
          <w:szCs w:val="28"/>
          <w:highlight w:val="none"/>
        </w:rPr>
        <w:t>包含</w:t>
      </w:r>
      <w:r>
        <w:rPr>
          <w:rFonts w:hint="eastAsia" w:ascii="楷体_GB2312" w:hAnsi="楷体_GB2312" w:eastAsia="楷体_GB2312" w:cs="楷体_GB2312"/>
          <w:sz w:val="28"/>
          <w:szCs w:val="28"/>
          <w:lang w:val="en-US" w:eastAsia="zh-CN"/>
        </w:rPr>
        <w:t>材料、运费、存储、装卸、人员等直到泵入热再生设备燃料罐的一切费用</w:t>
      </w:r>
      <w:r>
        <w:rPr>
          <w:rFonts w:hint="eastAsia" w:ascii="宋体" w:hAnsi="宋体" w:eastAsia="宋体" w:cs="宋体"/>
          <w:i w:val="0"/>
          <w:iCs w:val="0"/>
          <w:snapToGrid w:val="0"/>
          <w:color w:val="auto"/>
          <w:kern w:val="0"/>
          <w:sz w:val="24"/>
          <w:szCs w:val="24"/>
          <w:highlight w:val="none"/>
          <w:u w:val="none"/>
          <w:lang w:val="en-US" w:eastAsia="zh-CN" w:bidi="ar"/>
        </w:rPr>
        <w:t>。</w:t>
      </w:r>
    </w:p>
    <w:p w14:paraId="6E250681">
      <w:pPr>
        <w:keepNext w:val="0"/>
        <w:keepLines w:val="0"/>
        <w:pageBreakBefore w:val="0"/>
        <w:widowControl/>
        <w:kinsoku w:val="0"/>
        <w:overflowPunct/>
        <w:topLinePunct w:val="0"/>
        <w:autoSpaceDE w:val="0"/>
        <w:autoSpaceDN w:val="0"/>
        <w:bidi w:val="0"/>
        <w:adjustRightInd w:val="0"/>
        <w:snapToGrid w:val="0"/>
        <w:spacing w:beforeAutospacing="0" w:line="440" w:lineRule="exact"/>
        <w:ind w:firstLine="560" w:firstLineChars="200"/>
        <w:textAlignment w:val="baseline"/>
        <w:rPr>
          <w:rFonts w:ascii="楷体_GB2312" w:hAnsi="楷体_GB2312" w:eastAsia="楷体_GB2312" w:cs="楷体_GB2312"/>
          <w:color w:val="auto"/>
          <w:sz w:val="28"/>
          <w:szCs w:val="28"/>
          <w:highlight w:val="none"/>
        </w:rPr>
      </w:pPr>
      <w:r>
        <w:rPr>
          <w:rFonts w:ascii="楷体_GB2312" w:hAnsi="楷体_GB2312" w:eastAsia="楷体_GB2312" w:cs="楷体_GB2312"/>
          <w:color w:val="auto"/>
          <w:sz w:val="28"/>
          <w:szCs w:val="28"/>
          <w:highlight w:val="none"/>
        </w:rPr>
        <w:t>3、开具发票或代扣税金的要求：①付款时承包方提供本公司开户银行及开户账号，并出具符合项目所在地税务机关要求的增值税专用发票，方能申请付款；②税金=不含税总价×税率</w:t>
      </w:r>
    </w:p>
    <w:p w14:paraId="43D4ECB0">
      <w:pPr>
        <w:keepNext w:val="0"/>
        <w:keepLines w:val="0"/>
        <w:pageBreakBefore w:val="0"/>
        <w:widowControl/>
        <w:kinsoku w:val="0"/>
        <w:overflowPunct/>
        <w:topLinePunct w:val="0"/>
        <w:autoSpaceDE w:val="0"/>
        <w:autoSpaceDN w:val="0"/>
        <w:bidi w:val="0"/>
        <w:adjustRightInd w:val="0"/>
        <w:snapToGrid w:val="0"/>
        <w:spacing w:beforeAutospacing="0" w:line="440" w:lineRule="exact"/>
        <w:ind w:firstLine="562" w:firstLineChars="200"/>
        <w:textAlignment w:val="baseline"/>
        <w:rPr>
          <w:rFonts w:hint="default" w:ascii="楷体_GB2312" w:hAnsi="楷体_GB2312" w:eastAsia="楷体_GB2312" w:cs="楷体_GB2312"/>
          <w:b/>
          <w:bCs/>
          <w:sz w:val="28"/>
          <w:szCs w:val="28"/>
          <w:lang w:val="en-US" w:eastAsia="zh-CN"/>
        </w:rPr>
      </w:pPr>
      <w:r>
        <w:rPr>
          <w:rFonts w:hint="eastAsia" w:ascii="楷体_GB2312" w:hAnsi="楷体_GB2312" w:eastAsia="楷体_GB2312" w:cs="楷体_GB2312"/>
          <w:b/>
          <w:bCs/>
          <w:sz w:val="28"/>
          <w:szCs w:val="28"/>
          <w:lang w:val="en-US" w:eastAsia="zh-CN"/>
        </w:rPr>
        <w:t xml:space="preserve">五、提交询价保证金的要求 </w:t>
      </w:r>
    </w:p>
    <w:p w14:paraId="68FEBD2C">
      <w:pPr>
        <w:autoSpaceDE w:val="0"/>
        <w:autoSpaceDN w:val="0"/>
        <w:spacing w:line="460" w:lineRule="exact"/>
        <w:ind w:firstLine="560" w:firstLineChars="200"/>
        <w:rPr>
          <w:rFonts w:ascii="楷体_GB2312" w:hAnsi="楷体_GB2312" w:eastAsia="楷体_GB2312" w:cs="楷体_GB2312"/>
          <w:color w:val="auto"/>
          <w:sz w:val="28"/>
          <w:szCs w:val="28"/>
          <w:highlight w:val="none"/>
        </w:rPr>
      </w:pPr>
      <w:r>
        <w:rPr>
          <w:rFonts w:hint="eastAsia" w:ascii="楷体_GB2312" w:hAnsi="楷体_GB2312" w:eastAsia="楷体_GB2312" w:cs="楷体_GB2312"/>
          <w:sz w:val="28"/>
          <w:szCs w:val="28"/>
          <w:highlight w:val="none"/>
          <w:lang w:val="en-US" w:eastAsia="zh-CN"/>
        </w:rPr>
        <w:t>无。</w:t>
      </w:r>
    </w:p>
    <w:p w14:paraId="6C913AFE">
      <w:pPr>
        <w:keepNext w:val="0"/>
        <w:keepLines w:val="0"/>
        <w:pageBreakBefore w:val="0"/>
        <w:widowControl/>
        <w:kinsoku w:val="0"/>
        <w:overflowPunct/>
        <w:topLinePunct w:val="0"/>
        <w:autoSpaceDE w:val="0"/>
        <w:autoSpaceDN w:val="0"/>
        <w:bidi w:val="0"/>
        <w:adjustRightInd w:val="0"/>
        <w:snapToGrid w:val="0"/>
        <w:spacing w:beforeAutospacing="0" w:line="440" w:lineRule="exact"/>
        <w:ind w:firstLine="562" w:firstLineChars="200"/>
        <w:textAlignment w:val="baseline"/>
        <w:rPr>
          <w:rFonts w:hint="eastAsia" w:ascii="楷体_GB2312" w:hAnsi="楷体_GB2312" w:eastAsia="楷体_GB2312" w:cs="楷体_GB2312"/>
          <w:b/>
          <w:bCs/>
          <w:sz w:val="28"/>
          <w:szCs w:val="28"/>
          <w:lang w:val="en-US" w:eastAsia="zh-CN"/>
        </w:rPr>
      </w:pPr>
      <w:r>
        <w:rPr>
          <w:rFonts w:hint="eastAsia" w:ascii="楷体_GB2312" w:hAnsi="楷体_GB2312" w:eastAsia="楷体_GB2312" w:cs="楷体_GB2312"/>
          <w:b/>
          <w:bCs/>
          <w:sz w:val="28"/>
          <w:szCs w:val="28"/>
          <w:lang w:val="en-US" w:eastAsia="zh-CN"/>
        </w:rPr>
        <w:t>六、物资款的支付</w:t>
      </w:r>
    </w:p>
    <w:p w14:paraId="4853E595">
      <w:pPr>
        <w:keepNext w:val="0"/>
        <w:keepLines w:val="0"/>
        <w:pageBreakBefore w:val="0"/>
        <w:widowControl/>
        <w:kinsoku w:val="0"/>
        <w:overflowPunct/>
        <w:topLinePunct w:val="0"/>
        <w:autoSpaceDE w:val="0"/>
        <w:autoSpaceDN w:val="0"/>
        <w:bidi w:val="0"/>
        <w:adjustRightInd w:val="0"/>
        <w:snapToGrid w:val="0"/>
        <w:spacing w:beforeAutospacing="0" w:line="440" w:lineRule="exact"/>
        <w:ind w:firstLine="540"/>
        <w:jc w:val="left"/>
        <w:textAlignment w:val="baseline"/>
        <w:rPr>
          <w:rFonts w:hint="eastAsia"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①</w:t>
      </w:r>
      <w:r>
        <w:rPr>
          <w:rFonts w:hint="eastAsia" w:ascii="楷体_GB2312" w:hAnsi="楷体_GB2312" w:eastAsia="楷体_GB2312" w:cs="楷体_GB2312"/>
          <w:color w:val="auto"/>
          <w:sz w:val="28"/>
          <w:szCs w:val="28"/>
          <w:lang w:eastAsia="zh-CN"/>
        </w:rPr>
        <w:t>材料</w:t>
      </w:r>
      <w:r>
        <w:rPr>
          <w:rFonts w:hint="eastAsia" w:ascii="楷体_GB2312" w:hAnsi="楷体_GB2312" w:eastAsia="楷体_GB2312" w:cs="楷体_GB2312"/>
          <w:color w:val="auto"/>
          <w:sz w:val="28"/>
          <w:szCs w:val="28"/>
        </w:rPr>
        <w:t>预付款：本工程</w:t>
      </w:r>
      <w:r>
        <w:rPr>
          <w:rFonts w:hint="eastAsia" w:ascii="楷体_GB2312" w:hAnsi="楷体_GB2312" w:eastAsia="楷体_GB2312" w:cs="楷体_GB2312"/>
          <w:color w:val="auto"/>
          <w:sz w:val="28"/>
          <w:szCs w:val="28"/>
          <w:lang w:eastAsia="zh-CN"/>
        </w:rPr>
        <w:t>材料</w:t>
      </w:r>
      <w:r>
        <w:rPr>
          <w:rFonts w:hint="eastAsia" w:ascii="楷体_GB2312" w:hAnsi="楷体_GB2312" w:eastAsia="楷体_GB2312" w:cs="楷体_GB2312"/>
          <w:color w:val="auto"/>
          <w:sz w:val="28"/>
          <w:szCs w:val="28"/>
        </w:rPr>
        <w:t>无预付款；</w:t>
      </w:r>
    </w:p>
    <w:p w14:paraId="08EB0BE9">
      <w:pPr>
        <w:keepNext w:val="0"/>
        <w:keepLines w:val="0"/>
        <w:pageBreakBefore w:val="0"/>
        <w:widowControl/>
        <w:kinsoku w:val="0"/>
        <w:overflowPunct/>
        <w:topLinePunct w:val="0"/>
        <w:autoSpaceDE w:val="0"/>
        <w:autoSpaceDN w:val="0"/>
        <w:bidi w:val="0"/>
        <w:adjustRightInd w:val="0"/>
        <w:snapToGrid w:val="0"/>
        <w:spacing w:beforeAutospacing="0" w:line="440" w:lineRule="exact"/>
        <w:ind w:firstLine="540"/>
        <w:jc w:val="left"/>
        <w:textAlignment w:val="baseline"/>
        <w:rPr>
          <w:rFonts w:hint="eastAsia" w:ascii="楷体_GB2312" w:hAnsi="楷体_GB2312" w:eastAsia="楷体_GB2312" w:cs="楷体_GB2312"/>
          <w:color w:val="auto"/>
          <w:sz w:val="28"/>
          <w:szCs w:val="28"/>
        </w:rPr>
      </w:pPr>
      <w:r>
        <w:rPr>
          <w:rFonts w:hint="eastAsia" w:ascii="楷体_GB2312" w:hAnsi="楷体_GB2312" w:eastAsia="楷体_GB2312" w:cs="楷体_GB2312"/>
          <w:color w:val="auto"/>
          <w:sz w:val="28"/>
          <w:szCs w:val="28"/>
        </w:rPr>
        <w:t>②工程</w:t>
      </w:r>
      <w:r>
        <w:rPr>
          <w:rFonts w:hint="eastAsia" w:ascii="楷体_GB2312" w:hAnsi="楷体_GB2312" w:eastAsia="楷体_GB2312" w:cs="楷体_GB2312"/>
          <w:color w:val="auto"/>
          <w:sz w:val="28"/>
          <w:szCs w:val="28"/>
          <w:lang w:eastAsia="zh-CN"/>
        </w:rPr>
        <w:t>材料</w:t>
      </w:r>
      <w:r>
        <w:rPr>
          <w:rFonts w:hint="eastAsia" w:ascii="楷体_GB2312" w:hAnsi="楷体_GB2312" w:eastAsia="楷体_GB2312" w:cs="楷体_GB2312"/>
          <w:color w:val="auto"/>
          <w:sz w:val="28"/>
          <w:szCs w:val="28"/>
        </w:rPr>
        <w:t>款的支付：</w:t>
      </w:r>
      <w:r>
        <w:rPr>
          <w:rFonts w:hint="eastAsia" w:ascii="楷体_GB2312" w:hAnsi="楷体_GB2312" w:eastAsia="楷体_GB2312" w:cs="楷体_GB2312"/>
          <w:color w:val="auto"/>
          <w:sz w:val="28"/>
          <w:szCs w:val="28"/>
          <w:lang w:val="en-US" w:eastAsia="zh-CN"/>
        </w:rPr>
        <w:t>物资</w:t>
      </w:r>
      <w:r>
        <w:rPr>
          <w:rFonts w:hint="eastAsia" w:ascii="楷体_GB2312" w:hAnsi="楷体_GB2312" w:eastAsia="楷体_GB2312" w:cs="楷体_GB2312"/>
          <w:color w:val="auto"/>
          <w:sz w:val="28"/>
          <w:szCs w:val="28"/>
        </w:rPr>
        <w:t>进场并复检合格后，根据收料单开具材料结算单。根据结算单</w:t>
      </w:r>
      <w:r>
        <w:rPr>
          <w:rFonts w:hint="eastAsia" w:ascii="楷体_GB2312" w:hAnsi="楷体_GB2312" w:eastAsia="楷体_GB2312" w:cs="楷体_GB2312"/>
          <w:color w:val="auto"/>
          <w:sz w:val="28"/>
          <w:szCs w:val="28"/>
          <w:lang w:val="en-US" w:eastAsia="zh-CN"/>
        </w:rPr>
        <w:t>结合项目计量款拨付进度支付货款</w:t>
      </w:r>
      <w:r>
        <w:rPr>
          <w:rFonts w:hint="eastAsia" w:ascii="楷体_GB2312" w:hAnsi="楷体_GB2312" w:eastAsia="楷体_GB2312" w:cs="楷体_GB2312"/>
          <w:color w:val="auto"/>
          <w:sz w:val="28"/>
          <w:szCs w:val="28"/>
        </w:rPr>
        <w:t>，</w:t>
      </w:r>
      <w:r>
        <w:rPr>
          <w:rFonts w:hint="eastAsia" w:ascii="楷体_GB2312" w:hAnsi="楷体_GB2312" w:eastAsia="楷体_GB2312" w:cs="楷体_GB2312"/>
          <w:color w:val="auto"/>
          <w:sz w:val="28"/>
          <w:szCs w:val="28"/>
          <w:lang w:val="en-US" w:eastAsia="zh-CN"/>
        </w:rPr>
        <w:t>乙方提供合格的增值税专用发票</w:t>
      </w:r>
      <w:r>
        <w:rPr>
          <w:rFonts w:hint="eastAsia" w:ascii="楷体_GB2312" w:hAnsi="楷体_GB2312" w:eastAsia="楷体_GB2312" w:cs="楷体_GB2312"/>
          <w:color w:val="auto"/>
          <w:sz w:val="28"/>
          <w:szCs w:val="28"/>
        </w:rPr>
        <w:t>。</w:t>
      </w:r>
      <w:r>
        <w:rPr>
          <w:rFonts w:hint="eastAsia" w:ascii="楷体_GB2312" w:hAnsi="楷体_GB2312" w:eastAsia="楷体_GB2312" w:cs="楷体_GB2312"/>
          <w:color w:val="auto"/>
          <w:sz w:val="28"/>
          <w:szCs w:val="28"/>
          <w:lang w:eastAsia="zh-CN"/>
        </w:rPr>
        <w:t>如遇有与政府有关调整税率的情况，不含税价款保持不变，税款据实另计。</w:t>
      </w:r>
    </w:p>
    <w:p w14:paraId="4879C409">
      <w:pPr>
        <w:keepNext w:val="0"/>
        <w:keepLines w:val="0"/>
        <w:pageBreakBefore w:val="0"/>
        <w:widowControl/>
        <w:kinsoku w:val="0"/>
        <w:overflowPunct/>
        <w:topLinePunct w:val="0"/>
        <w:autoSpaceDE w:val="0"/>
        <w:autoSpaceDN w:val="0"/>
        <w:bidi w:val="0"/>
        <w:adjustRightInd w:val="0"/>
        <w:snapToGrid w:val="0"/>
        <w:spacing w:beforeAutospacing="0" w:line="440" w:lineRule="exact"/>
        <w:ind w:firstLine="540"/>
        <w:jc w:val="left"/>
        <w:textAlignment w:val="baseline"/>
        <w:rPr>
          <w:rFonts w:hint="eastAsia" w:ascii="楷体_GB2312" w:hAnsi="楷体_GB2312" w:eastAsia="楷体_GB2312" w:cs="楷体_GB2312"/>
          <w:color w:val="auto"/>
          <w:sz w:val="28"/>
          <w:szCs w:val="28"/>
          <w:lang w:val="en-US" w:eastAsia="zh-CN"/>
        </w:rPr>
      </w:pPr>
      <w:r>
        <w:rPr>
          <w:rFonts w:hint="eastAsia" w:ascii="楷体_GB2312" w:hAnsi="楷体_GB2312" w:eastAsia="楷体_GB2312" w:cs="楷体_GB2312"/>
          <w:color w:val="auto"/>
          <w:sz w:val="28"/>
          <w:szCs w:val="28"/>
        </w:rPr>
        <w:t>注：供货单位需开具符合财务要求的合规发票，凭发票结算付款</w:t>
      </w:r>
      <w:r>
        <w:rPr>
          <w:rFonts w:hint="eastAsia" w:ascii="楷体_GB2312" w:hAnsi="楷体_GB2312" w:eastAsia="楷体_GB2312" w:cs="楷体_GB2312"/>
          <w:color w:val="auto"/>
          <w:sz w:val="28"/>
          <w:szCs w:val="28"/>
          <w:lang w:eastAsia="zh-CN"/>
        </w:rPr>
        <w:t>。</w:t>
      </w:r>
    </w:p>
    <w:p w14:paraId="7323273C">
      <w:pPr>
        <w:autoSpaceDE w:val="0"/>
        <w:autoSpaceDN w:val="0"/>
        <w:adjustRightInd w:val="0"/>
        <w:spacing w:line="460" w:lineRule="exact"/>
        <w:ind w:firstLine="562" w:firstLineChars="200"/>
        <w:rPr>
          <w:rFonts w:hint="eastAsia" w:ascii="楷体_GB2312" w:hAnsi="楷体_GB2312" w:eastAsia="楷体_GB2312" w:cs="楷体_GB2312"/>
          <w:b/>
          <w:bCs/>
          <w:color w:val="auto"/>
          <w:sz w:val="28"/>
          <w:szCs w:val="28"/>
          <w:highlight w:val="none"/>
          <w:lang w:val="en-US" w:eastAsia="zh-CN"/>
        </w:rPr>
      </w:pPr>
      <w:r>
        <w:rPr>
          <w:rFonts w:hint="eastAsia" w:ascii="楷体_GB2312" w:hAnsi="楷体_GB2312" w:eastAsia="楷体_GB2312" w:cs="楷体_GB2312"/>
          <w:b/>
          <w:bCs/>
          <w:color w:val="auto"/>
          <w:sz w:val="28"/>
          <w:szCs w:val="28"/>
          <w:highlight w:val="none"/>
          <w:lang w:val="en-US" w:eastAsia="zh-CN"/>
        </w:rPr>
        <w:t>七、递交报价函的时间、地点以及其他应说明的问题</w:t>
      </w:r>
    </w:p>
    <w:p w14:paraId="0280F06C">
      <w:pPr>
        <w:autoSpaceDE w:val="0"/>
        <w:autoSpaceDN w:val="0"/>
        <w:adjustRightInd w:val="0"/>
        <w:spacing w:line="460" w:lineRule="exact"/>
        <w:ind w:firstLine="450"/>
        <w:rPr>
          <w:rFonts w:hint="eastAsia" w:ascii="楷体_GB2312" w:hAnsi="楷体_GB2312" w:eastAsia="楷体_GB2312" w:cs="楷体_GB2312"/>
          <w:color w:val="auto"/>
          <w:sz w:val="28"/>
          <w:szCs w:val="28"/>
          <w:highlight w:val="none"/>
        </w:rPr>
      </w:pPr>
      <w:r>
        <w:rPr>
          <w:rFonts w:hint="eastAsia" w:ascii="楷体_GB2312" w:hAnsi="楷体_GB2312" w:eastAsia="楷体_GB2312" w:cs="楷体_GB2312"/>
          <w:color w:val="auto"/>
          <w:sz w:val="28"/>
          <w:szCs w:val="28"/>
          <w:highlight w:val="none"/>
          <w:lang w:val="en-US" w:eastAsia="zh-CN"/>
        </w:rPr>
        <w:t>1、</w:t>
      </w:r>
      <w:r>
        <w:rPr>
          <w:rFonts w:hint="eastAsia" w:ascii="楷体_GB2312" w:hAnsi="楷体_GB2312" w:eastAsia="楷体_GB2312" w:cs="楷体_GB2312"/>
          <w:color w:val="auto"/>
          <w:sz w:val="28"/>
          <w:szCs w:val="28"/>
          <w:highlight w:val="none"/>
        </w:rPr>
        <w:t>报价单提交时间及相关要求：请于</w:t>
      </w:r>
      <w:r>
        <w:rPr>
          <w:rFonts w:hint="eastAsia" w:ascii="楷体_GB2312" w:hAnsi="楷体_GB2312" w:eastAsia="楷体_GB2312" w:cs="楷体_GB2312"/>
          <w:color w:val="auto"/>
          <w:sz w:val="28"/>
          <w:szCs w:val="28"/>
          <w:highlight w:val="none"/>
          <w:lang w:val="en-US" w:eastAsia="zh-CN"/>
        </w:rPr>
        <w:t xml:space="preserve"> 2025</w:t>
      </w:r>
      <w:r>
        <w:rPr>
          <w:rFonts w:hint="eastAsia" w:ascii="楷体_GB2312" w:hAnsi="楷体_GB2312" w:eastAsia="楷体_GB2312" w:cs="楷体_GB2312"/>
          <w:color w:val="auto"/>
          <w:sz w:val="28"/>
          <w:szCs w:val="28"/>
          <w:highlight w:val="none"/>
        </w:rPr>
        <w:t>年</w:t>
      </w:r>
      <w:r>
        <w:rPr>
          <w:rFonts w:hint="eastAsia" w:ascii="楷体_GB2312" w:hAnsi="楷体_GB2312" w:eastAsia="楷体_GB2312" w:cs="楷体_GB2312"/>
          <w:color w:val="auto"/>
          <w:sz w:val="28"/>
          <w:szCs w:val="28"/>
          <w:highlight w:val="none"/>
          <w:lang w:val="en-US" w:eastAsia="zh-CN"/>
        </w:rPr>
        <w:t>4</w:t>
      </w:r>
      <w:r>
        <w:rPr>
          <w:rFonts w:hint="eastAsia" w:ascii="楷体_GB2312" w:hAnsi="楷体_GB2312" w:eastAsia="楷体_GB2312" w:cs="楷体_GB2312"/>
          <w:color w:val="auto"/>
          <w:sz w:val="28"/>
          <w:szCs w:val="28"/>
          <w:highlight w:val="none"/>
        </w:rPr>
        <w:t>月</w:t>
      </w:r>
      <w:r>
        <w:rPr>
          <w:rFonts w:hint="eastAsia" w:ascii="楷体_GB2312" w:hAnsi="楷体_GB2312" w:eastAsia="楷体_GB2312" w:cs="楷体_GB2312"/>
          <w:color w:val="auto"/>
          <w:sz w:val="28"/>
          <w:szCs w:val="28"/>
          <w:highlight w:val="none"/>
          <w:lang w:val="en-US" w:eastAsia="zh-CN"/>
        </w:rPr>
        <w:t>18</w:t>
      </w:r>
      <w:r>
        <w:rPr>
          <w:rFonts w:hint="eastAsia" w:ascii="楷体_GB2312" w:hAnsi="楷体_GB2312" w:eastAsia="楷体_GB2312" w:cs="楷体_GB2312"/>
          <w:color w:val="auto"/>
          <w:sz w:val="28"/>
          <w:szCs w:val="28"/>
          <w:highlight w:val="none"/>
        </w:rPr>
        <w:t>日</w:t>
      </w:r>
      <w:r>
        <w:rPr>
          <w:rFonts w:hint="eastAsia" w:ascii="楷体_GB2312" w:hAnsi="楷体_GB2312" w:eastAsia="楷体_GB2312" w:cs="楷体_GB2312"/>
          <w:color w:val="auto"/>
          <w:sz w:val="28"/>
          <w:szCs w:val="28"/>
          <w:highlight w:val="none"/>
          <w:lang w:val="en-US" w:eastAsia="zh-CN"/>
        </w:rPr>
        <w:t>上午9</w:t>
      </w:r>
      <w:r>
        <w:rPr>
          <w:rFonts w:hint="eastAsia" w:ascii="楷体_GB2312" w:hAnsi="楷体_GB2312" w:eastAsia="楷体_GB2312" w:cs="楷体_GB2312"/>
          <w:color w:val="auto"/>
          <w:sz w:val="28"/>
          <w:szCs w:val="28"/>
          <w:highlight w:val="none"/>
        </w:rPr>
        <w:t>时</w:t>
      </w:r>
      <w:r>
        <w:rPr>
          <w:rFonts w:hint="eastAsia" w:ascii="楷体_GB2312" w:hAnsi="楷体_GB2312" w:eastAsia="楷体_GB2312" w:cs="楷体_GB2312"/>
          <w:color w:val="auto"/>
          <w:sz w:val="28"/>
          <w:szCs w:val="28"/>
          <w:highlight w:val="none"/>
          <w:lang w:val="en-US" w:eastAsia="zh-CN"/>
        </w:rPr>
        <w:t>30</w:t>
      </w:r>
      <w:r>
        <w:rPr>
          <w:rFonts w:hint="eastAsia" w:ascii="楷体_GB2312" w:hAnsi="楷体_GB2312" w:eastAsia="楷体_GB2312" w:cs="楷体_GB2312"/>
          <w:color w:val="auto"/>
          <w:sz w:val="28"/>
          <w:szCs w:val="28"/>
          <w:highlight w:val="none"/>
        </w:rPr>
        <w:t>分前，提交至</w:t>
      </w:r>
      <w:r>
        <w:rPr>
          <w:rFonts w:hint="eastAsia" w:ascii="楷体_GB2312" w:hAnsi="楷体_GB2312" w:eastAsia="楷体_GB2312" w:cs="楷体_GB2312"/>
          <w:color w:val="auto"/>
          <w:sz w:val="28"/>
          <w:szCs w:val="28"/>
          <w:highlight w:val="none"/>
          <w:lang w:val="en-US" w:eastAsia="zh-CN"/>
        </w:rPr>
        <w:t>德达交通建设发</w:t>
      </w:r>
      <w:bookmarkStart w:id="0" w:name="_GoBack"/>
      <w:bookmarkEnd w:id="0"/>
      <w:r>
        <w:rPr>
          <w:rFonts w:hint="eastAsia" w:ascii="楷体_GB2312" w:hAnsi="楷体_GB2312" w:eastAsia="楷体_GB2312" w:cs="楷体_GB2312"/>
          <w:color w:val="auto"/>
          <w:sz w:val="28"/>
          <w:szCs w:val="28"/>
          <w:highlight w:val="none"/>
          <w:lang w:val="en-US" w:eastAsia="zh-CN"/>
        </w:rPr>
        <w:t>展集团德沃工业园会议室。</w:t>
      </w:r>
      <w:r>
        <w:rPr>
          <w:rFonts w:hint="eastAsia" w:ascii="楷体_GB2312" w:hAnsi="楷体_GB2312" w:eastAsia="楷体_GB2312" w:cs="楷体_GB2312"/>
          <w:color w:val="auto"/>
          <w:sz w:val="28"/>
          <w:szCs w:val="28"/>
          <w:highlight w:val="none"/>
        </w:rPr>
        <w:t>报价单按照我公司规定格式</w:t>
      </w:r>
      <w:r>
        <w:rPr>
          <w:rFonts w:hint="eastAsia" w:ascii="楷体_GB2312" w:hAnsi="楷体_GB2312" w:eastAsia="楷体_GB2312" w:cs="楷体_GB2312"/>
          <w:color w:val="auto"/>
          <w:sz w:val="28"/>
          <w:szCs w:val="28"/>
          <w:highlight w:val="none"/>
          <w:lang w:eastAsia="zh-CN"/>
        </w:rPr>
        <w:t>填写</w:t>
      </w:r>
      <w:r>
        <w:rPr>
          <w:rFonts w:hint="eastAsia" w:ascii="楷体_GB2312" w:hAnsi="楷体_GB2312" w:eastAsia="楷体_GB2312" w:cs="楷体_GB2312"/>
          <w:color w:val="auto"/>
          <w:sz w:val="28"/>
          <w:szCs w:val="28"/>
          <w:highlight w:val="none"/>
        </w:rPr>
        <w:t>，并且需要盖章签字。</w:t>
      </w:r>
    </w:p>
    <w:p w14:paraId="7AD926FC">
      <w:pPr>
        <w:autoSpaceDE w:val="0"/>
        <w:autoSpaceDN w:val="0"/>
        <w:adjustRightInd w:val="0"/>
        <w:spacing w:line="460" w:lineRule="exact"/>
        <w:ind w:firstLine="450"/>
        <w:rPr>
          <w:rFonts w:hint="default" w:ascii="楷体_GB2312" w:hAnsi="楷体_GB2312" w:eastAsia="楷体_GB2312" w:cs="楷体_GB2312"/>
          <w:color w:val="auto"/>
          <w:sz w:val="28"/>
          <w:szCs w:val="28"/>
          <w:highlight w:val="none"/>
          <w:lang w:val="en-US" w:eastAsia="en-US"/>
        </w:rPr>
      </w:pPr>
      <w:r>
        <w:rPr>
          <w:rFonts w:hint="eastAsia" w:ascii="楷体_GB2312" w:hAnsi="楷体_GB2312" w:eastAsia="楷体_GB2312" w:cs="楷体_GB2312"/>
          <w:color w:val="auto"/>
          <w:sz w:val="28"/>
          <w:szCs w:val="28"/>
          <w:highlight w:val="none"/>
          <w:lang w:val="en-US" w:eastAsia="zh-CN"/>
        </w:rPr>
        <w:t>2</w:t>
      </w:r>
      <w:r>
        <w:rPr>
          <w:rFonts w:hint="default" w:ascii="楷体_GB2312" w:hAnsi="楷体_GB2312" w:eastAsia="楷体_GB2312" w:cs="楷体_GB2312"/>
          <w:color w:val="auto"/>
          <w:sz w:val="28"/>
          <w:szCs w:val="28"/>
          <w:highlight w:val="none"/>
          <w:lang w:val="en-US" w:eastAsia="en-US"/>
        </w:rPr>
        <w:t>、</w:t>
      </w:r>
      <w:r>
        <w:rPr>
          <w:rFonts w:hint="eastAsia" w:ascii="楷体_GB2312" w:hAnsi="楷体_GB2312" w:eastAsia="楷体_GB2312" w:cs="楷体_GB2312"/>
          <w:color w:val="auto"/>
          <w:sz w:val="28"/>
          <w:szCs w:val="28"/>
          <w:highlight w:val="none"/>
          <w:lang w:val="en-US" w:eastAsia="en-US"/>
        </w:rPr>
        <w:t>因提交虚假资料而产生的一切后果由</w:t>
      </w:r>
      <w:r>
        <w:rPr>
          <w:rFonts w:hint="eastAsia" w:ascii="楷体_GB2312" w:hAnsi="楷体_GB2312" w:eastAsia="楷体_GB2312" w:cs="楷体_GB2312"/>
          <w:color w:val="auto"/>
          <w:sz w:val="28"/>
          <w:szCs w:val="28"/>
          <w:highlight w:val="none"/>
          <w:lang w:val="en-US" w:eastAsia="zh-CN"/>
        </w:rPr>
        <w:t>竞谈</w:t>
      </w:r>
      <w:r>
        <w:rPr>
          <w:rFonts w:hint="eastAsia" w:ascii="楷体_GB2312" w:hAnsi="楷体_GB2312" w:eastAsia="楷体_GB2312" w:cs="楷体_GB2312"/>
          <w:color w:val="auto"/>
          <w:sz w:val="28"/>
          <w:szCs w:val="28"/>
          <w:highlight w:val="none"/>
          <w:lang w:val="en-US" w:eastAsia="en-US"/>
        </w:rPr>
        <w:t>人自行承担。</w:t>
      </w:r>
      <w:r>
        <w:rPr>
          <w:rFonts w:hint="eastAsia" w:ascii="楷体_GB2312" w:hAnsi="楷体_GB2312" w:eastAsia="楷体_GB2312" w:cs="楷体_GB2312"/>
          <w:color w:val="auto"/>
          <w:sz w:val="28"/>
          <w:szCs w:val="28"/>
          <w:highlight w:val="none"/>
          <w:lang w:val="en-US" w:eastAsia="zh-CN"/>
        </w:rPr>
        <w:t>竞谈</w:t>
      </w:r>
      <w:r>
        <w:rPr>
          <w:rFonts w:hint="eastAsia" w:ascii="楷体_GB2312" w:hAnsi="楷体_GB2312" w:eastAsia="楷体_GB2312" w:cs="楷体_GB2312"/>
          <w:color w:val="auto"/>
          <w:sz w:val="28"/>
          <w:szCs w:val="28"/>
          <w:highlight w:val="none"/>
          <w:lang w:val="en-US" w:eastAsia="en-US"/>
        </w:rPr>
        <w:t>报名不代表资格审查的最终通过或合格。</w:t>
      </w:r>
    </w:p>
    <w:p w14:paraId="415E5941">
      <w:pPr>
        <w:autoSpaceDE w:val="0"/>
        <w:autoSpaceDN w:val="0"/>
        <w:adjustRightInd w:val="0"/>
        <w:spacing w:line="460" w:lineRule="exact"/>
        <w:ind w:firstLine="450"/>
        <w:rPr>
          <w:rFonts w:hint="eastAsia" w:ascii="楷体_GB2312" w:hAnsi="楷体_GB2312" w:eastAsia="楷体_GB2312" w:cs="楷体_GB2312"/>
          <w:color w:val="auto"/>
          <w:sz w:val="28"/>
          <w:szCs w:val="28"/>
          <w:highlight w:val="none"/>
          <w:lang w:val="en-US" w:eastAsia="en-US"/>
        </w:rPr>
      </w:pPr>
      <w:r>
        <w:rPr>
          <w:rFonts w:hint="eastAsia" w:ascii="楷体_GB2312" w:hAnsi="楷体_GB2312" w:eastAsia="楷体_GB2312" w:cs="楷体_GB2312"/>
          <w:color w:val="auto"/>
          <w:sz w:val="28"/>
          <w:szCs w:val="28"/>
          <w:highlight w:val="none"/>
          <w:lang w:val="en-US" w:eastAsia="zh-CN"/>
        </w:rPr>
        <w:t>3</w:t>
      </w:r>
      <w:r>
        <w:rPr>
          <w:rFonts w:hint="default" w:ascii="楷体_GB2312" w:hAnsi="楷体_GB2312" w:eastAsia="楷体_GB2312" w:cs="楷体_GB2312"/>
          <w:color w:val="auto"/>
          <w:sz w:val="28"/>
          <w:szCs w:val="28"/>
          <w:highlight w:val="none"/>
          <w:lang w:val="en-US" w:eastAsia="en-US"/>
        </w:rPr>
        <w:t>、重要说明：参与项目</w:t>
      </w:r>
      <w:r>
        <w:rPr>
          <w:rFonts w:hint="eastAsia" w:ascii="楷体_GB2312" w:hAnsi="楷体_GB2312" w:eastAsia="楷体_GB2312" w:cs="楷体_GB2312"/>
          <w:color w:val="auto"/>
          <w:sz w:val="28"/>
          <w:szCs w:val="28"/>
          <w:highlight w:val="none"/>
          <w:lang w:val="en-US" w:eastAsia="zh-CN"/>
        </w:rPr>
        <w:t>竞谈</w:t>
      </w:r>
      <w:r>
        <w:rPr>
          <w:rFonts w:hint="default" w:ascii="楷体_GB2312" w:hAnsi="楷体_GB2312" w:eastAsia="楷体_GB2312" w:cs="楷体_GB2312"/>
          <w:color w:val="auto"/>
          <w:sz w:val="28"/>
          <w:szCs w:val="28"/>
          <w:highlight w:val="none"/>
          <w:lang w:val="en-US" w:eastAsia="en-US"/>
        </w:rPr>
        <w:t>的</w:t>
      </w:r>
      <w:r>
        <w:rPr>
          <w:rFonts w:hint="eastAsia" w:ascii="楷体_GB2312" w:hAnsi="楷体_GB2312" w:eastAsia="楷体_GB2312" w:cs="楷体_GB2312"/>
          <w:color w:val="auto"/>
          <w:sz w:val="28"/>
          <w:szCs w:val="28"/>
          <w:highlight w:val="none"/>
          <w:lang w:val="en-US" w:eastAsia="en-US"/>
        </w:rPr>
        <w:t>供应商必须在</w:t>
      </w:r>
      <w:r>
        <w:rPr>
          <w:rFonts w:hint="eastAsia" w:ascii="楷体_GB2312" w:hAnsi="楷体_GB2312" w:eastAsia="楷体_GB2312" w:cs="楷体_GB2312"/>
          <w:color w:val="auto"/>
          <w:sz w:val="28"/>
          <w:szCs w:val="28"/>
          <w:highlight w:val="none"/>
          <w:lang w:val="en-US" w:eastAsia="zh-CN"/>
        </w:rPr>
        <w:t>德达交建集团</w:t>
      </w:r>
      <w:r>
        <w:rPr>
          <w:rFonts w:hint="eastAsia" w:ascii="楷体_GB2312" w:hAnsi="楷体_GB2312" w:eastAsia="楷体_GB2312" w:cs="楷体_GB2312"/>
          <w:color w:val="auto"/>
          <w:sz w:val="28"/>
          <w:szCs w:val="28"/>
          <w:highlight w:val="none"/>
          <w:lang w:val="en-US" w:eastAsia="en-US"/>
        </w:rPr>
        <w:t>办理供应商入库，否则招标人有权拒绝其参与投标。</w:t>
      </w:r>
    </w:p>
    <w:p w14:paraId="61AE9E2C">
      <w:pPr>
        <w:autoSpaceDE w:val="0"/>
        <w:autoSpaceDN w:val="0"/>
        <w:adjustRightInd w:val="0"/>
        <w:spacing w:line="460" w:lineRule="exact"/>
        <w:ind w:firstLine="450"/>
        <w:rPr>
          <w:rFonts w:hint="eastAsia" w:ascii="楷体_GB2312" w:hAnsi="楷体_GB2312" w:eastAsia="楷体_GB2312" w:cs="楷体_GB2312"/>
          <w:color w:val="auto"/>
          <w:sz w:val="28"/>
          <w:szCs w:val="28"/>
          <w:highlight w:val="none"/>
          <w:lang w:val="en-US" w:eastAsia="en-US"/>
        </w:rPr>
      </w:pPr>
      <w:r>
        <w:rPr>
          <w:rFonts w:hint="eastAsia" w:ascii="楷体_GB2312" w:hAnsi="楷体_GB2312" w:eastAsia="楷体_GB2312" w:cs="楷体_GB2312"/>
          <w:color w:val="auto"/>
          <w:sz w:val="28"/>
          <w:szCs w:val="28"/>
          <w:highlight w:val="none"/>
          <w:lang w:val="en-US" w:eastAsia="zh-CN"/>
        </w:rPr>
        <w:t>4、在本次报名中优先考虑2024年度德达交建集团合格供方优秀单位。</w:t>
      </w:r>
    </w:p>
    <w:p w14:paraId="332B8F6C">
      <w:pPr>
        <w:autoSpaceDE w:val="0"/>
        <w:autoSpaceDN w:val="0"/>
        <w:adjustRightInd w:val="0"/>
        <w:spacing w:line="460" w:lineRule="exact"/>
        <w:ind w:firstLine="562" w:firstLineChars="200"/>
        <w:rPr>
          <w:rFonts w:hint="eastAsia" w:ascii="楷体_GB2312" w:hAnsi="楷体_GB2312" w:eastAsia="楷体_GB2312" w:cs="楷体_GB2312"/>
          <w:b/>
          <w:bCs/>
          <w:color w:val="auto"/>
          <w:sz w:val="28"/>
          <w:szCs w:val="28"/>
          <w:highlight w:val="none"/>
          <w:lang w:val="en-US" w:eastAsia="zh-CN"/>
        </w:rPr>
      </w:pPr>
      <w:r>
        <w:rPr>
          <w:rFonts w:hint="eastAsia" w:ascii="楷体_GB2312" w:hAnsi="楷体_GB2312" w:eastAsia="楷体_GB2312" w:cs="楷体_GB2312"/>
          <w:b/>
          <w:bCs/>
          <w:color w:val="auto"/>
          <w:sz w:val="28"/>
          <w:szCs w:val="28"/>
          <w:highlight w:val="none"/>
          <w:lang w:val="en-US" w:eastAsia="zh-CN"/>
        </w:rPr>
        <w:t>八、竞谈时间、方式：</w:t>
      </w:r>
    </w:p>
    <w:p w14:paraId="3AAD52DD">
      <w:pPr>
        <w:autoSpaceDE w:val="0"/>
        <w:autoSpaceDN w:val="0"/>
        <w:adjustRightInd w:val="0"/>
        <w:spacing w:line="460" w:lineRule="exact"/>
        <w:ind w:firstLine="450"/>
        <w:rPr>
          <w:rFonts w:hint="default" w:ascii="楷体_GB2312" w:hAnsi="楷体_GB2312" w:eastAsia="楷体_GB2312" w:cs="楷体_GB2312"/>
          <w:color w:val="auto"/>
          <w:sz w:val="28"/>
          <w:szCs w:val="28"/>
          <w:highlight w:val="none"/>
          <w:lang w:val="en-US" w:eastAsia="zh-CN"/>
        </w:rPr>
      </w:pPr>
      <w:r>
        <w:rPr>
          <w:rFonts w:hint="eastAsia" w:ascii="楷体_GB2312" w:hAnsi="楷体_GB2312" w:eastAsia="楷体_GB2312" w:cs="楷体_GB2312"/>
          <w:color w:val="auto"/>
          <w:sz w:val="28"/>
          <w:szCs w:val="28"/>
          <w:highlight w:val="none"/>
          <w:lang w:val="en-US" w:eastAsia="zh-CN"/>
        </w:rPr>
        <w:t>（</w:t>
      </w:r>
      <w:r>
        <w:rPr>
          <w:rFonts w:hint="default" w:ascii="楷体_GB2312" w:hAnsi="楷体_GB2312" w:eastAsia="楷体_GB2312" w:cs="楷体_GB2312"/>
          <w:color w:val="auto"/>
          <w:sz w:val="28"/>
          <w:szCs w:val="28"/>
          <w:highlight w:val="none"/>
          <w:lang w:val="en-US" w:eastAsia="zh-CN"/>
        </w:rPr>
        <w:t>1）</w:t>
      </w:r>
      <w:r>
        <w:rPr>
          <w:rFonts w:hint="eastAsia" w:ascii="楷体_GB2312" w:hAnsi="楷体_GB2312" w:eastAsia="楷体_GB2312" w:cs="楷体_GB2312"/>
          <w:color w:val="auto"/>
          <w:sz w:val="28"/>
          <w:szCs w:val="28"/>
          <w:highlight w:val="none"/>
          <w:lang w:val="en-US" w:eastAsia="zh-CN"/>
        </w:rPr>
        <w:t>报名</w:t>
      </w:r>
      <w:r>
        <w:rPr>
          <w:rFonts w:hint="default" w:ascii="楷体_GB2312" w:hAnsi="楷体_GB2312" w:eastAsia="楷体_GB2312" w:cs="楷体_GB2312"/>
          <w:color w:val="auto"/>
          <w:sz w:val="28"/>
          <w:szCs w:val="28"/>
          <w:highlight w:val="none"/>
          <w:lang w:val="en-US" w:eastAsia="zh-CN"/>
        </w:rPr>
        <w:t>时间：</w:t>
      </w:r>
      <w:r>
        <w:rPr>
          <w:rFonts w:hint="eastAsia" w:ascii="楷体_GB2312" w:hAnsi="楷体_GB2312" w:eastAsia="楷体_GB2312" w:cs="楷体_GB2312"/>
          <w:color w:val="auto"/>
          <w:sz w:val="28"/>
          <w:szCs w:val="28"/>
          <w:highlight w:val="none"/>
          <w:lang w:val="en-US" w:eastAsia="zh-CN"/>
        </w:rPr>
        <w:t>2025</w:t>
      </w:r>
      <w:r>
        <w:rPr>
          <w:rFonts w:hint="default" w:ascii="楷体_GB2312" w:hAnsi="楷体_GB2312" w:eastAsia="楷体_GB2312" w:cs="楷体_GB2312"/>
          <w:color w:val="auto"/>
          <w:sz w:val="28"/>
          <w:szCs w:val="28"/>
          <w:highlight w:val="none"/>
          <w:lang w:val="en-US" w:eastAsia="zh-CN"/>
        </w:rPr>
        <w:t>年</w:t>
      </w:r>
      <w:r>
        <w:rPr>
          <w:rFonts w:hint="eastAsia" w:ascii="楷体_GB2312" w:hAnsi="楷体_GB2312" w:eastAsia="楷体_GB2312" w:cs="楷体_GB2312"/>
          <w:color w:val="auto"/>
          <w:sz w:val="28"/>
          <w:szCs w:val="28"/>
          <w:highlight w:val="none"/>
          <w:lang w:val="en-US" w:eastAsia="zh-CN"/>
        </w:rPr>
        <w:t>4</w:t>
      </w:r>
      <w:r>
        <w:rPr>
          <w:rFonts w:hint="default" w:ascii="楷体_GB2312" w:hAnsi="楷体_GB2312" w:eastAsia="楷体_GB2312" w:cs="楷体_GB2312"/>
          <w:color w:val="auto"/>
          <w:sz w:val="28"/>
          <w:szCs w:val="28"/>
          <w:highlight w:val="none"/>
          <w:lang w:val="en-US" w:eastAsia="zh-CN"/>
        </w:rPr>
        <w:t>月</w:t>
      </w:r>
      <w:r>
        <w:rPr>
          <w:rFonts w:hint="eastAsia" w:ascii="楷体_GB2312" w:hAnsi="楷体_GB2312" w:eastAsia="楷体_GB2312" w:cs="楷体_GB2312"/>
          <w:color w:val="auto"/>
          <w:sz w:val="28"/>
          <w:szCs w:val="28"/>
          <w:highlight w:val="none"/>
          <w:lang w:val="en-US" w:eastAsia="zh-CN"/>
        </w:rPr>
        <w:t>15</w:t>
      </w:r>
      <w:r>
        <w:rPr>
          <w:rFonts w:hint="default" w:ascii="楷体_GB2312" w:hAnsi="楷体_GB2312" w:eastAsia="楷体_GB2312" w:cs="楷体_GB2312"/>
          <w:color w:val="auto"/>
          <w:sz w:val="28"/>
          <w:szCs w:val="28"/>
          <w:highlight w:val="none"/>
          <w:lang w:val="en-US" w:eastAsia="zh-CN"/>
        </w:rPr>
        <w:t>日</w:t>
      </w:r>
      <w:r>
        <w:rPr>
          <w:rFonts w:hint="eastAsia" w:ascii="楷体_GB2312" w:hAnsi="楷体_GB2312" w:eastAsia="楷体_GB2312" w:cs="楷体_GB2312"/>
          <w:color w:val="auto"/>
          <w:sz w:val="28"/>
          <w:szCs w:val="28"/>
          <w:highlight w:val="none"/>
          <w:lang w:val="en-US" w:eastAsia="zh-CN"/>
        </w:rPr>
        <w:t>8</w:t>
      </w:r>
      <w:r>
        <w:rPr>
          <w:rFonts w:hint="default" w:ascii="楷体_GB2312" w:hAnsi="楷体_GB2312" w:eastAsia="楷体_GB2312" w:cs="楷体_GB2312"/>
          <w:color w:val="auto"/>
          <w:sz w:val="28"/>
          <w:szCs w:val="28"/>
          <w:highlight w:val="none"/>
          <w:lang w:val="en-US" w:eastAsia="zh-CN"/>
        </w:rPr>
        <w:t>时</w:t>
      </w:r>
      <w:r>
        <w:rPr>
          <w:rFonts w:hint="eastAsia" w:ascii="楷体_GB2312" w:hAnsi="楷体_GB2312" w:eastAsia="楷体_GB2312" w:cs="楷体_GB2312"/>
          <w:color w:val="auto"/>
          <w:sz w:val="28"/>
          <w:szCs w:val="28"/>
          <w:highlight w:val="none"/>
          <w:lang w:val="en-US" w:eastAsia="zh-CN"/>
        </w:rPr>
        <w:t>30</w:t>
      </w:r>
      <w:r>
        <w:rPr>
          <w:rFonts w:hint="default" w:ascii="楷体_GB2312" w:hAnsi="楷体_GB2312" w:eastAsia="楷体_GB2312" w:cs="楷体_GB2312"/>
          <w:color w:val="auto"/>
          <w:sz w:val="28"/>
          <w:szCs w:val="28"/>
          <w:highlight w:val="none"/>
          <w:lang w:val="en-US" w:eastAsia="zh-CN"/>
        </w:rPr>
        <w:t>分</w:t>
      </w:r>
      <w:r>
        <w:rPr>
          <w:rFonts w:hint="eastAsia" w:ascii="楷体_GB2312" w:hAnsi="楷体_GB2312" w:eastAsia="楷体_GB2312" w:cs="楷体_GB2312"/>
          <w:color w:val="auto"/>
          <w:sz w:val="28"/>
          <w:szCs w:val="28"/>
          <w:highlight w:val="none"/>
          <w:lang w:val="en-US" w:eastAsia="zh-CN"/>
        </w:rPr>
        <w:t>-2025</w:t>
      </w:r>
      <w:r>
        <w:rPr>
          <w:rFonts w:hint="default" w:ascii="楷体_GB2312" w:hAnsi="楷体_GB2312" w:eastAsia="楷体_GB2312" w:cs="楷体_GB2312"/>
          <w:color w:val="auto"/>
          <w:sz w:val="28"/>
          <w:szCs w:val="28"/>
          <w:highlight w:val="none"/>
          <w:lang w:val="en-US" w:eastAsia="zh-CN"/>
        </w:rPr>
        <w:t>年</w:t>
      </w:r>
      <w:r>
        <w:rPr>
          <w:rFonts w:hint="eastAsia" w:ascii="楷体_GB2312" w:hAnsi="楷体_GB2312" w:eastAsia="楷体_GB2312" w:cs="楷体_GB2312"/>
          <w:color w:val="auto"/>
          <w:sz w:val="28"/>
          <w:szCs w:val="28"/>
          <w:highlight w:val="none"/>
          <w:lang w:val="en-US" w:eastAsia="zh-CN"/>
        </w:rPr>
        <w:t>4</w:t>
      </w:r>
      <w:r>
        <w:rPr>
          <w:rFonts w:hint="default" w:ascii="楷体_GB2312" w:hAnsi="楷体_GB2312" w:eastAsia="楷体_GB2312" w:cs="楷体_GB2312"/>
          <w:color w:val="auto"/>
          <w:sz w:val="28"/>
          <w:szCs w:val="28"/>
          <w:highlight w:val="none"/>
          <w:lang w:val="en-US" w:eastAsia="zh-CN"/>
        </w:rPr>
        <w:t>月</w:t>
      </w:r>
      <w:r>
        <w:rPr>
          <w:rFonts w:hint="eastAsia" w:ascii="楷体_GB2312" w:hAnsi="楷体_GB2312" w:eastAsia="楷体_GB2312" w:cs="楷体_GB2312"/>
          <w:color w:val="auto"/>
          <w:sz w:val="28"/>
          <w:szCs w:val="28"/>
          <w:highlight w:val="none"/>
          <w:lang w:val="en-US" w:eastAsia="zh-CN"/>
        </w:rPr>
        <w:t>17</w:t>
      </w:r>
      <w:r>
        <w:rPr>
          <w:rFonts w:hint="default" w:ascii="楷体_GB2312" w:hAnsi="楷体_GB2312" w:eastAsia="楷体_GB2312" w:cs="楷体_GB2312"/>
          <w:color w:val="auto"/>
          <w:sz w:val="28"/>
          <w:szCs w:val="28"/>
          <w:highlight w:val="none"/>
          <w:lang w:val="en-US" w:eastAsia="zh-CN"/>
        </w:rPr>
        <w:t>日</w:t>
      </w:r>
      <w:r>
        <w:rPr>
          <w:rFonts w:hint="eastAsia" w:ascii="楷体_GB2312" w:hAnsi="楷体_GB2312" w:eastAsia="楷体_GB2312" w:cs="楷体_GB2312"/>
          <w:color w:val="auto"/>
          <w:sz w:val="28"/>
          <w:szCs w:val="28"/>
          <w:highlight w:val="none"/>
          <w:lang w:val="en-US" w:eastAsia="zh-CN"/>
        </w:rPr>
        <w:t>17</w:t>
      </w:r>
      <w:r>
        <w:rPr>
          <w:rFonts w:hint="default" w:ascii="楷体_GB2312" w:hAnsi="楷体_GB2312" w:eastAsia="楷体_GB2312" w:cs="楷体_GB2312"/>
          <w:color w:val="auto"/>
          <w:sz w:val="28"/>
          <w:szCs w:val="28"/>
          <w:highlight w:val="none"/>
          <w:lang w:val="en-US" w:eastAsia="zh-CN"/>
        </w:rPr>
        <w:t>时</w:t>
      </w:r>
      <w:r>
        <w:rPr>
          <w:rFonts w:hint="eastAsia" w:ascii="楷体_GB2312" w:hAnsi="楷体_GB2312" w:eastAsia="楷体_GB2312" w:cs="楷体_GB2312"/>
          <w:color w:val="auto"/>
          <w:sz w:val="28"/>
          <w:szCs w:val="28"/>
          <w:highlight w:val="none"/>
          <w:lang w:val="en-US" w:eastAsia="zh-CN"/>
        </w:rPr>
        <w:t>30</w:t>
      </w:r>
      <w:r>
        <w:rPr>
          <w:rFonts w:hint="default" w:ascii="楷体_GB2312" w:hAnsi="楷体_GB2312" w:eastAsia="楷体_GB2312" w:cs="楷体_GB2312"/>
          <w:color w:val="auto"/>
          <w:sz w:val="28"/>
          <w:szCs w:val="28"/>
          <w:highlight w:val="none"/>
          <w:lang w:val="en-US" w:eastAsia="zh-CN"/>
        </w:rPr>
        <w:t>分（北京时间）；</w:t>
      </w:r>
    </w:p>
    <w:p w14:paraId="6C2569B2">
      <w:pPr>
        <w:autoSpaceDE w:val="0"/>
        <w:autoSpaceDN w:val="0"/>
        <w:adjustRightInd w:val="0"/>
        <w:spacing w:line="460" w:lineRule="exact"/>
        <w:ind w:firstLine="450"/>
        <w:rPr>
          <w:rFonts w:hint="eastAsia" w:ascii="楷体_GB2312" w:hAnsi="楷体_GB2312" w:eastAsia="楷体_GB2312" w:cs="楷体_GB2312"/>
          <w:color w:val="auto"/>
          <w:sz w:val="28"/>
          <w:szCs w:val="28"/>
          <w:highlight w:val="none"/>
          <w:lang w:val="en-US" w:eastAsia="zh-CN"/>
        </w:rPr>
      </w:pPr>
      <w:r>
        <w:rPr>
          <w:rFonts w:hint="eastAsia" w:ascii="楷体_GB2312" w:hAnsi="楷体_GB2312" w:eastAsia="楷体_GB2312" w:cs="楷体_GB2312"/>
          <w:color w:val="auto"/>
          <w:sz w:val="28"/>
          <w:szCs w:val="28"/>
          <w:highlight w:val="none"/>
          <w:lang w:val="en-US" w:eastAsia="zh-CN"/>
        </w:rPr>
        <w:t>（2）报名地点：德达交通建设发展集团德沃工业园会议室；</w:t>
      </w:r>
    </w:p>
    <w:p w14:paraId="6E7620E4">
      <w:pPr>
        <w:autoSpaceDE w:val="0"/>
        <w:autoSpaceDN w:val="0"/>
        <w:adjustRightInd w:val="0"/>
        <w:spacing w:line="460" w:lineRule="exact"/>
        <w:ind w:firstLine="450"/>
        <w:rPr>
          <w:rFonts w:hint="default" w:ascii="楷体_GB2312" w:hAnsi="楷体_GB2312" w:eastAsia="楷体_GB2312" w:cs="楷体_GB2312"/>
          <w:color w:val="auto"/>
          <w:sz w:val="28"/>
          <w:szCs w:val="28"/>
          <w:highlight w:val="none"/>
          <w:lang w:val="en-US" w:eastAsia="zh-CN"/>
        </w:rPr>
      </w:pPr>
      <w:r>
        <w:rPr>
          <w:rFonts w:hint="eastAsia" w:ascii="楷体_GB2312" w:hAnsi="楷体_GB2312" w:eastAsia="楷体_GB2312" w:cs="楷体_GB2312"/>
          <w:color w:val="auto"/>
          <w:sz w:val="28"/>
          <w:szCs w:val="28"/>
          <w:highlight w:val="none"/>
          <w:lang w:val="en-US" w:eastAsia="zh-CN"/>
        </w:rPr>
        <w:t>（3</w:t>
      </w:r>
      <w:r>
        <w:rPr>
          <w:rFonts w:hint="default" w:ascii="楷体_GB2312" w:hAnsi="楷体_GB2312" w:eastAsia="楷体_GB2312" w:cs="楷体_GB2312"/>
          <w:color w:val="auto"/>
          <w:sz w:val="28"/>
          <w:szCs w:val="28"/>
          <w:highlight w:val="none"/>
          <w:lang w:val="en-US" w:eastAsia="zh-CN"/>
        </w:rPr>
        <w:t>）</w:t>
      </w:r>
      <w:r>
        <w:rPr>
          <w:rFonts w:hint="eastAsia" w:ascii="楷体_GB2312" w:hAnsi="楷体_GB2312" w:eastAsia="楷体_GB2312" w:cs="楷体_GB2312"/>
          <w:color w:val="auto"/>
          <w:sz w:val="28"/>
          <w:szCs w:val="28"/>
          <w:highlight w:val="none"/>
          <w:lang w:val="en-US" w:eastAsia="zh-CN"/>
        </w:rPr>
        <w:t>竞谈</w:t>
      </w:r>
      <w:r>
        <w:rPr>
          <w:rFonts w:hint="default" w:ascii="楷体_GB2312" w:hAnsi="楷体_GB2312" w:eastAsia="楷体_GB2312" w:cs="楷体_GB2312"/>
          <w:color w:val="auto"/>
          <w:sz w:val="28"/>
          <w:szCs w:val="28"/>
          <w:highlight w:val="none"/>
          <w:lang w:val="en-US" w:eastAsia="zh-CN"/>
        </w:rPr>
        <w:t>时间：</w:t>
      </w:r>
      <w:r>
        <w:rPr>
          <w:rFonts w:hint="eastAsia" w:ascii="楷体_GB2312" w:hAnsi="楷体_GB2312" w:eastAsia="楷体_GB2312" w:cs="楷体_GB2312"/>
          <w:color w:val="auto"/>
          <w:sz w:val="28"/>
          <w:szCs w:val="28"/>
          <w:highlight w:val="none"/>
          <w:lang w:val="en-US" w:eastAsia="zh-CN"/>
        </w:rPr>
        <w:t>2025</w:t>
      </w:r>
      <w:r>
        <w:rPr>
          <w:rFonts w:hint="default" w:ascii="楷体_GB2312" w:hAnsi="楷体_GB2312" w:eastAsia="楷体_GB2312" w:cs="楷体_GB2312"/>
          <w:color w:val="auto"/>
          <w:sz w:val="28"/>
          <w:szCs w:val="28"/>
          <w:highlight w:val="none"/>
          <w:lang w:val="en-US" w:eastAsia="zh-CN"/>
        </w:rPr>
        <w:t>年</w:t>
      </w:r>
      <w:r>
        <w:rPr>
          <w:rFonts w:hint="eastAsia" w:ascii="楷体_GB2312" w:hAnsi="楷体_GB2312" w:eastAsia="楷体_GB2312" w:cs="楷体_GB2312"/>
          <w:color w:val="auto"/>
          <w:sz w:val="28"/>
          <w:szCs w:val="28"/>
          <w:highlight w:val="none"/>
          <w:lang w:val="en-US" w:eastAsia="zh-CN"/>
        </w:rPr>
        <w:t>4</w:t>
      </w:r>
      <w:r>
        <w:rPr>
          <w:rFonts w:hint="default" w:ascii="楷体_GB2312" w:hAnsi="楷体_GB2312" w:eastAsia="楷体_GB2312" w:cs="楷体_GB2312"/>
          <w:color w:val="auto"/>
          <w:sz w:val="28"/>
          <w:szCs w:val="28"/>
          <w:highlight w:val="none"/>
          <w:lang w:val="en-US" w:eastAsia="zh-CN"/>
        </w:rPr>
        <w:t>月</w:t>
      </w:r>
      <w:r>
        <w:rPr>
          <w:rFonts w:hint="eastAsia" w:ascii="楷体_GB2312" w:hAnsi="楷体_GB2312" w:eastAsia="楷体_GB2312" w:cs="楷体_GB2312"/>
          <w:color w:val="auto"/>
          <w:sz w:val="28"/>
          <w:szCs w:val="28"/>
          <w:highlight w:val="none"/>
          <w:lang w:val="en-US" w:eastAsia="zh-CN"/>
        </w:rPr>
        <w:t>18</w:t>
      </w:r>
      <w:r>
        <w:rPr>
          <w:rFonts w:hint="default" w:ascii="楷体_GB2312" w:hAnsi="楷体_GB2312" w:eastAsia="楷体_GB2312" w:cs="楷体_GB2312"/>
          <w:color w:val="auto"/>
          <w:sz w:val="28"/>
          <w:szCs w:val="28"/>
          <w:highlight w:val="none"/>
          <w:lang w:val="en-US" w:eastAsia="zh-CN"/>
        </w:rPr>
        <w:t>日</w:t>
      </w:r>
      <w:r>
        <w:rPr>
          <w:rFonts w:hint="eastAsia" w:ascii="楷体_GB2312" w:hAnsi="楷体_GB2312" w:eastAsia="楷体_GB2312" w:cs="楷体_GB2312"/>
          <w:color w:val="auto"/>
          <w:sz w:val="28"/>
          <w:szCs w:val="28"/>
          <w:highlight w:val="none"/>
          <w:lang w:val="en-US" w:eastAsia="zh-CN"/>
        </w:rPr>
        <w:t>9</w:t>
      </w:r>
      <w:r>
        <w:rPr>
          <w:rFonts w:hint="default" w:ascii="楷体_GB2312" w:hAnsi="楷体_GB2312" w:eastAsia="楷体_GB2312" w:cs="楷体_GB2312"/>
          <w:color w:val="auto"/>
          <w:sz w:val="28"/>
          <w:szCs w:val="28"/>
          <w:highlight w:val="none"/>
          <w:lang w:val="en-US" w:eastAsia="zh-CN"/>
        </w:rPr>
        <w:t>时</w:t>
      </w:r>
      <w:r>
        <w:rPr>
          <w:rFonts w:hint="eastAsia" w:ascii="楷体_GB2312" w:hAnsi="楷体_GB2312" w:eastAsia="楷体_GB2312" w:cs="楷体_GB2312"/>
          <w:color w:val="auto"/>
          <w:sz w:val="28"/>
          <w:szCs w:val="28"/>
          <w:highlight w:val="none"/>
          <w:lang w:val="en-US" w:eastAsia="zh-CN"/>
        </w:rPr>
        <w:t>30</w:t>
      </w:r>
      <w:r>
        <w:rPr>
          <w:rFonts w:hint="default" w:ascii="楷体_GB2312" w:hAnsi="楷体_GB2312" w:eastAsia="楷体_GB2312" w:cs="楷体_GB2312"/>
          <w:color w:val="auto"/>
          <w:sz w:val="28"/>
          <w:szCs w:val="28"/>
          <w:highlight w:val="none"/>
          <w:lang w:val="en-US" w:eastAsia="zh-CN"/>
        </w:rPr>
        <w:t>分（北京时间）；</w:t>
      </w:r>
    </w:p>
    <w:p w14:paraId="35D8B7D6">
      <w:pPr>
        <w:autoSpaceDE w:val="0"/>
        <w:autoSpaceDN w:val="0"/>
        <w:adjustRightInd w:val="0"/>
        <w:spacing w:line="460" w:lineRule="exact"/>
        <w:ind w:firstLine="450"/>
        <w:rPr>
          <w:rFonts w:hint="default" w:ascii="楷体_GB2312" w:hAnsi="楷体_GB2312" w:eastAsia="楷体_GB2312" w:cs="楷体_GB2312"/>
          <w:color w:val="auto"/>
          <w:sz w:val="28"/>
          <w:szCs w:val="28"/>
          <w:highlight w:val="none"/>
          <w:lang w:val="en-US" w:eastAsia="zh-CN"/>
        </w:rPr>
      </w:pPr>
      <w:r>
        <w:rPr>
          <w:rFonts w:hint="eastAsia" w:ascii="楷体_GB2312" w:hAnsi="楷体_GB2312" w:eastAsia="楷体_GB2312" w:cs="楷体_GB2312"/>
          <w:color w:val="auto"/>
          <w:sz w:val="28"/>
          <w:szCs w:val="28"/>
          <w:highlight w:val="none"/>
          <w:lang w:val="en-US" w:eastAsia="zh-CN"/>
        </w:rPr>
        <w:t>（4</w:t>
      </w:r>
      <w:r>
        <w:rPr>
          <w:rFonts w:hint="default" w:ascii="楷体_GB2312" w:hAnsi="楷体_GB2312" w:eastAsia="楷体_GB2312" w:cs="楷体_GB2312"/>
          <w:color w:val="auto"/>
          <w:sz w:val="28"/>
          <w:szCs w:val="28"/>
          <w:highlight w:val="none"/>
          <w:lang w:val="en-US" w:eastAsia="zh-CN"/>
        </w:rPr>
        <w:t>）</w:t>
      </w:r>
      <w:r>
        <w:rPr>
          <w:rFonts w:hint="eastAsia" w:ascii="楷体_GB2312" w:hAnsi="楷体_GB2312" w:eastAsia="楷体_GB2312" w:cs="楷体_GB2312"/>
          <w:color w:val="auto"/>
          <w:sz w:val="28"/>
          <w:szCs w:val="28"/>
          <w:highlight w:val="none"/>
          <w:lang w:val="en-US" w:eastAsia="zh-CN"/>
        </w:rPr>
        <w:t>竞谈</w:t>
      </w:r>
      <w:r>
        <w:rPr>
          <w:rFonts w:hint="default" w:ascii="楷体_GB2312" w:hAnsi="楷体_GB2312" w:eastAsia="楷体_GB2312" w:cs="楷体_GB2312"/>
          <w:color w:val="auto"/>
          <w:sz w:val="28"/>
          <w:szCs w:val="28"/>
          <w:highlight w:val="none"/>
          <w:lang w:val="en-US" w:eastAsia="zh-CN"/>
        </w:rPr>
        <w:t>地点：德达交通建设发展集团德沃工业园会议室；</w:t>
      </w:r>
    </w:p>
    <w:p w14:paraId="1F440749">
      <w:pPr>
        <w:autoSpaceDE w:val="0"/>
        <w:autoSpaceDN w:val="0"/>
        <w:adjustRightInd w:val="0"/>
        <w:spacing w:line="460" w:lineRule="exact"/>
        <w:ind w:firstLine="450"/>
        <w:rPr>
          <w:rFonts w:hint="default" w:ascii="楷体_GB2312" w:hAnsi="楷体_GB2312" w:eastAsia="楷体_GB2312" w:cs="楷体_GB2312"/>
          <w:color w:val="auto"/>
          <w:sz w:val="28"/>
          <w:szCs w:val="28"/>
          <w:highlight w:val="none"/>
          <w:lang w:val="en-US" w:eastAsia="zh-CN"/>
        </w:rPr>
      </w:pPr>
      <w:r>
        <w:rPr>
          <w:rFonts w:hint="eastAsia" w:ascii="楷体_GB2312" w:hAnsi="楷体_GB2312" w:eastAsia="楷体_GB2312" w:cs="楷体_GB2312"/>
          <w:color w:val="auto"/>
          <w:sz w:val="28"/>
          <w:szCs w:val="28"/>
          <w:highlight w:val="none"/>
          <w:lang w:val="en-US" w:eastAsia="zh-CN"/>
        </w:rPr>
        <w:t>（5</w:t>
      </w:r>
      <w:r>
        <w:rPr>
          <w:rFonts w:hint="default" w:ascii="楷体_GB2312" w:hAnsi="楷体_GB2312" w:eastAsia="楷体_GB2312" w:cs="楷体_GB2312"/>
          <w:color w:val="auto"/>
          <w:sz w:val="28"/>
          <w:szCs w:val="28"/>
          <w:highlight w:val="none"/>
          <w:lang w:val="en-US" w:eastAsia="zh-CN"/>
        </w:rPr>
        <w:t>）</w:t>
      </w:r>
      <w:r>
        <w:rPr>
          <w:rFonts w:hint="eastAsia" w:ascii="楷体_GB2312" w:hAnsi="楷体_GB2312" w:eastAsia="楷体_GB2312" w:cs="楷体_GB2312"/>
          <w:color w:val="auto"/>
          <w:sz w:val="28"/>
          <w:szCs w:val="28"/>
          <w:highlight w:val="none"/>
          <w:lang w:val="en-US" w:eastAsia="zh-CN"/>
        </w:rPr>
        <w:t>竞谈</w:t>
      </w:r>
      <w:r>
        <w:rPr>
          <w:rFonts w:hint="default" w:ascii="楷体_GB2312" w:hAnsi="楷体_GB2312" w:eastAsia="楷体_GB2312" w:cs="楷体_GB2312"/>
          <w:color w:val="auto"/>
          <w:sz w:val="28"/>
          <w:szCs w:val="28"/>
          <w:highlight w:val="none"/>
          <w:lang w:val="en-US" w:eastAsia="zh-CN"/>
        </w:rPr>
        <w:t>方式：</w:t>
      </w:r>
      <w:r>
        <w:rPr>
          <w:rFonts w:hint="eastAsia" w:ascii="楷体_GB2312" w:hAnsi="楷体_GB2312" w:eastAsia="楷体_GB2312" w:cs="楷体_GB2312"/>
          <w:color w:val="auto"/>
          <w:sz w:val="28"/>
          <w:szCs w:val="28"/>
          <w:highlight w:val="none"/>
          <w:lang w:val="en-US" w:eastAsia="zh-CN"/>
        </w:rPr>
        <w:t>现场竞谈</w:t>
      </w:r>
      <w:r>
        <w:rPr>
          <w:rFonts w:hint="default" w:ascii="楷体_GB2312" w:hAnsi="楷体_GB2312" w:eastAsia="楷体_GB2312" w:cs="楷体_GB2312"/>
          <w:color w:val="auto"/>
          <w:sz w:val="28"/>
          <w:szCs w:val="28"/>
          <w:highlight w:val="none"/>
          <w:lang w:val="en-US" w:eastAsia="zh-CN"/>
        </w:rPr>
        <w:t>。</w:t>
      </w:r>
    </w:p>
    <w:p w14:paraId="67589BB7">
      <w:pPr>
        <w:autoSpaceDE w:val="0"/>
        <w:autoSpaceDN w:val="0"/>
        <w:adjustRightInd w:val="0"/>
        <w:spacing w:line="460" w:lineRule="exact"/>
        <w:ind w:firstLine="450"/>
        <w:rPr>
          <w:rFonts w:hint="default" w:ascii="楷体_GB2312" w:hAnsi="楷体_GB2312" w:eastAsia="楷体_GB2312" w:cs="楷体_GB2312"/>
          <w:color w:val="auto"/>
          <w:sz w:val="28"/>
          <w:szCs w:val="28"/>
          <w:highlight w:val="none"/>
          <w:lang w:val="en-US" w:eastAsia="zh-CN"/>
        </w:rPr>
      </w:pPr>
      <w:r>
        <w:rPr>
          <w:rFonts w:hint="eastAsia" w:ascii="楷体_GB2312" w:hAnsi="楷体_GB2312" w:eastAsia="楷体_GB2312" w:cs="楷体_GB2312"/>
          <w:color w:val="auto"/>
          <w:sz w:val="28"/>
          <w:szCs w:val="28"/>
          <w:highlight w:val="none"/>
          <w:lang w:val="en-US" w:eastAsia="zh-CN"/>
        </w:rPr>
        <w:t>（6</w:t>
      </w:r>
      <w:r>
        <w:rPr>
          <w:rFonts w:hint="default" w:ascii="楷体_GB2312" w:hAnsi="楷体_GB2312" w:eastAsia="楷体_GB2312" w:cs="楷体_GB2312"/>
          <w:color w:val="auto"/>
          <w:sz w:val="28"/>
          <w:szCs w:val="28"/>
          <w:highlight w:val="none"/>
          <w:lang w:val="en-US" w:eastAsia="zh-CN"/>
        </w:rPr>
        <w:t>）</w:t>
      </w:r>
      <w:r>
        <w:rPr>
          <w:rFonts w:hint="eastAsia" w:ascii="楷体_GB2312" w:hAnsi="楷体_GB2312" w:eastAsia="楷体_GB2312" w:cs="楷体_GB2312"/>
          <w:color w:val="auto"/>
          <w:sz w:val="28"/>
          <w:szCs w:val="28"/>
          <w:highlight w:val="none"/>
          <w:lang w:val="en-US" w:eastAsia="zh-CN"/>
        </w:rPr>
        <w:t>候场地点</w:t>
      </w:r>
      <w:r>
        <w:rPr>
          <w:rFonts w:hint="default" w:ascii="楷体_GB2312" w:hAnsi="楷体_GB2312" w:eastAsia="楷体_GB2312" w:cs="楷体_GB2312"/>
          <w:color w:val="auto"/>
          <w:sz w:val="28"/>
          <w:szCs w:val="28"/>
          <w:highlight w:val="none"/>
          <w:lang w:val="en-US" w:eastAsia="zh-CN"/>
        </w:rPr>
        <w:t>：德达交通建设发展集团德沃工业园会议室。</w:t>
      </w:r>
    </w:p>
    <w:p w14:paraId="361A84FD">
      <w:pPr>
        <w:autoSpaceDE w:val="0"/>
        <w:autoSpaceDN w:val="0"/>
        <w:adjustRightInd w:val="0"/>
        <w:spacing w:line="460" w:lineRule="exact"/>
        <w:ind w:firstLine="562" w:firstLineChars="200"/>
        <w:rPr>
          <w:rFonts w:hint="eastAsia" w:ascii="楷体_GB2312" w:hAnsi="楷体_GB2312" w:eastAsia="楷体_GB2312" w:cs="楷体_GB2312"/>
          <w:b/>
          <w:bCs/>
          <w:color w:val="auto"/>
          <w:sz w:val="28"/>
          <w:szCs w:val="28"/>
          <w:highlight w:val="none"/>
          <w:lang w:val="en-US" w:eastAsia="zh-CN"/>
        </w:rPr>
      </w:pPr>
      <w:r>
        <w:rPr>
          <w:rFonts w:hint="eastAsia" w:ascii="楷体_GB2312" w:hAnsi="楷体_GB2312" w:eastAsia="楷体_GB2312" w:cs="楷体_GB2312"/>
          <w:b/>
          <w:bCs/>
          <w:color w:val="auto"/>
          <w:sz w:val="28"/>
          <w:szCs w:val="28"/>
          <w:highlight w:val="none"/>
          <w:lang w:val="en-US" w:eastAsia="zh-CN"/>
        </w:rPr>
        <w:t>九、竞谈情况说明</w:t>
      </w:r>
    </w:p>
    <w:p w14:paraId="2E873432">
      <w:pPr>
        <w:autoSpaceDE w:val="0"/>
        <w:autoSpaceDN w:val="0"/>
        <w:adjustRightInd w:val="0"/>
        <w:spacing w:line="460" w:lineRule="exact"/>
        <w:ind w:firstLine="560" w:firstLineChars="200"/>
        <w:rPr>
          <w:rFonts w:hint="eastAsia" w:ascii="楷体_GB2312" w:hAnsi="楷体_GB2312" w:eastAsia="楷体_GB2312" w:cs="楷体_GB2312"/>
          <w:color w:val="auto"/>
          <w:sz w:val="28"/>
          <w:szCs w:val="28"/>
          <w:highlight w:val="none"/>
          <w:lang w:val="en-US" w:eastAsia="zh-CN"/>
        </w:rPr>
      </w:pPr>
      <w:r>
        <w:rPr>
          <w:rFonts w:hint="eastAsia" w:ascii="楷体_GB2312" w:hAnsi="楷体_GB2312" w:eastAsia="楷体_GB2312" w:cs="楷体_GB2312"/>
          <w:color w:val="auto"/>
          <w:sz w:val="28"/>
          <w:szCs w:val="28"/>
          <w:highlight w:val="none"/>
          <w:lang w:val="en-US" w:eastAsia="zh-CN"/>
        </w:rPr>
        <w:t>1、本次竞谈根据首轮谈判情况由招标人决定是否进行二次报价；</w:t>
      </w:r>
    </w:p>
    <w:p w14:paraId="085138E0">
      <w:pPr>
        <w:autoSpaceDE w:val="0"/>
        <w:autoSpaceDN w:val="0"/>
        <w:adjustRightInd w:val="0"/>
        <w:spacing w:line="460" w:lineRule="exact"/>
        <w:ind w:firstLine="560" w:firstLineChars="200"/>
        <w:rPr>
          <w:rFonts w:hint="eastAsia" w:ascii="楷体_GB2312" w:hAnsi="楷体_GB2312" w:eastAsia="楷体_GB2312" w:cs="楷体_GB2312"/>
          <w:color w:val="auto"/>
          <w:sz w:val="28"/>
          <w:szCs w:val="28"/>
          <w:highlight w:val="none"/>
        </w:rPr>
      </w:pPr>
      <w:r>
        <w:rPr>
          <w:rFonts w:hint="eastAsia" w:ascii="楷体_GB2312" w:hAnsi="楷体_GB2312" w:eastAsia="楷体_GB2312" w:cs="楷体_GB2312"/>
          <w:color w:val="auto"/>
          <w:sz w:val="28"/>
          <w:szCs w:val="28"/>
          <w:highlight w:val="none"/>
          <w:lang w:val="en-US" w:eastAsia="zh-CN"/>
        </w:rPr>
        <w:t>2</w:t>
      </w:r>
      <w:r>
        <w:rPr>
          <w:rFonts w:hint="eastAsia" w:ascii="楷体_GB2312" w:hAnsi="楷体_GB2312" w:eastAsia="楷体_GB2312" w:cs="楷体_GB2312"/>
          <w:color w:val="auto"/>
          <w:sz w:val="28"/>
          <w:szCs w:val="28"/>
          <w:highlight w:val="none"/>
        </w:rPr>
        <w:t>、</w:t>
      </w:r>
      <w:r>
        <w:rPr>
          <w:rFonts w:hint="eastAsia" w:ascii="楷体_GB2312" w:hAnsi="楷体_GB2312" w:eastAsia="楷体_GB2312" w:cs="楷体_GB2312"/>
          <w:color w:val="auto"/>
          <w:sz w:val="28"/>
          <w:szCs w:val="28"/>
          <w:highlight w:val="none"/>
          <w:lang w:eastAsia="zh-CN"/>
        </w:rPr>
        <w:t>递交资料</w:t>
      </w:r>
      <w:r>
        <w:rPr>
          <w:rFonts w:hint="eastAsia" w:ascii="楷体_GB2312" w:hAnsi="楷体_GB2312" w:eastAsia="楷体_GB2312" w:cs="楷体_GB2312"/>
          <w:color w:val="auto"/>
          <w:sz w:val="28"/>
          <w:szCs w:val="28"/>
          <w:highlight w:val="none"/>
        </w:rPr>
        <w:t>：</w:t>
      </w:r>
      <w:r>
        <w:rPr>
          <w:rFonts w:hint="eastAsia" w:ascii="楷体_GB2312" w:hAnsi="楷体_GB2312" w:eastAsia="楷体_GB2312" w:cs="楷体_GB2312"/>
          <w:b/>
          <w:bCs/>
          <w:color w:val="auto"/>
          <w:sz w:val="28"/>
          <w:szCs w:val="28"/>
          <w:highlight w:val="none"/>
        </w:rPr>
        <w:t>营业执照、开户许可证、法人身份证</w:t>
      </w:r>
      <w:r>
        <w:rPr>
          <w:rFonts w:hint="eastAsia" w:ascii="楷体_GB2312" w:hAnsi="楷体_GB2312" w:eastAsia="楷体_GB2312" w:cs="楷体_GB2312"/>
          <w:b/>
          <w:bCs/>
          <w:color w:val="auto"/>
          <w:sz w:val="28"/>
          <w:szCs w:val="28"/>
          <w:highlight w:val="none"/>
          <w:lang w:val="en-US" w:eastAsia="zh-CN"/>
        </w:rPr>
        <w:t>复印件或法人授权委托书、</w:t>
      </w:r>
      <w:r>
        <w:rPr>
          <w:rFonts w:hint="eastAsia" w:ascii="楷体_GB2312" w:hAnsi="楷体_GB2312" w:eastAsia="楷体_GB2312" w:cs="楷体_GB2312"/>
          <w:b/>
          <w:bCs/>
          <w:color w:val="auto"/>
          <w:sz w:val="28"/>
          <w:szCs w:val="28"/>
          <w:highlight w:val="none"/>
          <w:lang w:eastAsia="zh-CN"/>
        </w:rPr>
        <w:t>信誉截图</w:t>
      </w:r>
      <w:r>
        <w:rPr>
          <w:rFonts w:hint="eastAsia" w:ascii="楷体_GB2312" w:hAnsi="楷体_GB2312" w:eastAsia="楷体_GB2312" w:cs="楷体_GB2312"/>
          <w:color w:val="auto"/>
          <w:sz w:val="28"/>
          <w:szCs w:val="28"/>
          <w:highlight w:val="none"/>
        </w:rPr>
        <w:t>等；</w:t>
      </w:r>
    </w:p>
    <w:p w14:paraId="4E67C9C1">
      <w:pPr>
        <w:autoSpaceDE w:val="0"/>
        <w:autoSpaceDN w:val="0"/>
        <w:spacing w:line="460" w:lineRule="exact"/>
        <w:ind w:firstLine="560"/>
        <w:rPr>
          <w:rFonts w:ascii="楷体_GB2312" w:hAnsi="楷体_GB2312" w:eastAsia="楷体_GB2312" w:cs="楷体_GB2312"/>
          <w:color w:val="auto"/>
          <w:sz w:val="28"/>
          <w:szCs w:val="28"/>
          <w:highlight w:val="none"/>
        </w:rPr>
      </w:pPr>
      <w:r>
        <w:rPr>
          <w:rFonts w:hint="eastAsia" w:ascii="楷体_GB2312" w:hAnsi="楷体_GB2312" w:eastAsia="楷体_GB2312" w:cs="楷体_GB2312"/>
          <w:color w:val="auto"/>
          <w:sz w:val="28"/>
          <w:szCs w:val="28"/>
          <w:highlight w:val="none"/>
          <w:lang w:val="en-US" w:eastAsia="zh-CN"/>
        </w:rPr>
        <w:t>3</w:t>
      </w:r>
      <w:r>
        <w:rPr>
          <w:rFonts w:hint="eastAsia" w:ascii="楷体_GB2312" w:hAnsi="楷体_GB2312" w:eastAsia="楷体_GB2312" w:cs="楷体_GB2312"/>
          <w:color w:val="auto"/>
          <w:sz w:val="28"/>
          <w:szCs w:val="28"/>
          <w:highlight w:val="none"/>
        </w:rPr>
        <w:t>、</w:t>
      </w:r>
      <w:r>
        <w:rPr>
          <w:rFonts w:ascii="楷体_GB2312" w:hAnsi="楷体_GB2312" w:eastAsia="楷体_GB2312" w:cs="楷体_GB2312"/>
          <w:b/>
          <w:bCs/>
          <w:color w:val="auto"/>
          <w:sz w:val="28"/>
          <w:szCs w:val="28"/>
          <w:highlight w:val="none"/>
        </w:rPr>
        <w:t>我公司将根据报价情况按照最低价中标的原则（低于成本价除外）确定中标单位</w:t>
      </w:r>
      <w:r>
        <w:rPr>
          <w:rFonts w:ascii="楷体_GB2312" w:hAnsi="楷体_GB2312" w:eastAsia="楷体_GB2312" w:cs="楷体_GB2312"/>
          <w:color w:val="auto"/>
          <w:sz w:val="28"/>
          <w:szCs w:val="28"/>
          <w:highlight w:val="none"/>
        </w:rPr>
        <w:t>。</w:t>
      </w:r>
      <w:r>
        <w:rPr>
          <w:rFonts w:hint="eastAsia" w:ascii="楷体_GB2312" w:hAnsi="楷体_GB2312" w:eastAsia="楷体_GB2312" w:cs="楷体_GB2312"/>
          <w:b/>
          <w:bCs/>
          <w:color w:val="auto"/>
          <w:sz w:val="28"/>
          <w:szCs w:val="28"/>
          <w:highlight w:val="none"/>
          <w:lang w:eastAsia="zh-CN"/>
        </w:rPr>
        <w:t>如最低价相同的单位招标人有权依据综合竞谈情况选择供应商。</w:t>
      </w:r>
      <w:r>
        <w:rPr>
          <w:rFonts w:hint="eastAsia" w:ascii="楷体_GB2312" w:hAnsi="楷体_GB2312" w:eastAsia="楷体_GB2312" w:cs="楷体_GB2312"/>
          <w:color w:val="auto"/>
          <w:sz w:val="28"/>
          <w:szCs w:val="28"/>
          <w:highlight w:val="none"/>
          <w:lang w:eastAsia="zh-CN"/>
        </w:rPr>
        <w:t>竞谈</w:t>
      </w:r>
      <w:r>
        <w:rPr>
          <w:rFonts w:hint="eastAsia" w:ascii="楷体_GB2312" w:hAnsi="楷体_GB2312" w:eastAsia="楷体_GB2312" w:cs="楷体_GB2312"/>
          <w:color w:val="auto"/>
          <w:sz w:val="28"/>
          <w:szCs w:val="28"/>
          <w:highlight w:val="none"/>
        </w:rPr>
        <w:t>结果</w:t>
      </w:r>
      <w:r>
        <w:rPr>
          <w:rFonts w:ascii="楷体_GB2312" w:hAnsi="楷体_GB2312" w:eastAsia="楷体_GB2312" w:cs="楷体_GB2312"/>
          <w:color w:val="auto"/>
          <w:sz w:val="28"/>
          <w:szCs w:val="28"/>
          <w:highlight w:val="none"/>
        </w:rPr>
        <w:t>将在我公司网站</w:t>
      </w:r>
      <w:r>
        <w:rPr>
          <w:rFonts w:hint="eastAsia" w:ascii="楷体" w:hAnsi="楷体" w:eastAsia="楷体" w:cs="楷体"/>
          <w:color w:val="auto"/>
          <w:spacing w:val="-12"/>
          <w:sz w:val="29"/>
          <w:szCs w:val="29"/>
          <w:highlight w:val="none"/>
          <w:u w:val="none"/>
          <w:lang w:val="en-US" w:eastAsia="zh-CN"/>
        </w:rPr>
        <w:t>德达交建集团</w:t>
      </w:r>
      <w:r>
        <w:rPr>
          <w:rFonts w:ascii="楷体_GB2312" w:hAnsi="楷体_GB2312" w:eastAsia="楷体_GB2312" w:cs="楷体_GB2312"/>
          <w:color w:val="auto"/>
          <w:sz w:val="28"/>
          <w:szCs w:val="28"/>
          <w:highlight w:val="none"/>
        </w:rPr>
        <w:t>进行公示，公示期为</w:t>
      </w:r>
      <w:r>
        <w:rPr>
          <w:rFonts w:hint="eastAsia" w:ascii="楷体_GB2312" w:hAnsi="楷体_GB2312" w:eastAsia="楷体_GB2312" w:cs="楷体_GB2312"/>
          <w:color w:val="auto"/>
          <w:sz w:val="28"/>
          <w:szCs w:val="28"/>
          <w:highlight w:val="none"/>
        </w:rPr>
        <w:t>3天</w:t>
      </w:r>
      <w:r>
        <w:rPr>
          <w:rFonts w:ascii="楷体_GB2312" w:hAnsi="楷体_GB2312" w:eastAsia="楷体_GB2312" w:cs="楷体_GB2312"/>
          <w:color w:val="auto"/>
          <w:sz w:val="28"/>
          <w:szCs w:val="28"/>
          <w:highlight w:val="none"/>
        </w:rPr>
        <w:t>。如果此次</w:t>
      </w:r>
      <w:r>
        <w:rPr>
          <w:rFonts w:hint="eastAsia" w:ascii="楷体_GB2312" w:hAnsi="楷体_GB2312" w:eastAsia="楷体_GB2312" w:cs="楷体_GB2312"/>
          <w:color w:val="auto"/>
          <w:sz w:val="28"/>
          <w:szCs w:val="28"/>
          <w:highlight w:val="none"/>
          <w:lang w:eastAsia="zh-CN"/>
        </w:rPr>
        <w:t>竞谈</w:t>
      </w:r>
      <w:r>
        <w:rPr>
          <w:rFonts w:ascii="楷体_GB2312" w:hAnsi="楷体_GB2312" w:eastAsia="楷体_GB2312" w:cs="楷体_GB2312"/>
          <w:color w:val="auto"/>
          <w:sz w:val="28"/>
          <w:szCs w:val="28"/>
          <w:highlight w:val="none"/>
        </w:rPr>
        <w:t>未达到我公司</w:t>
      </w:r>
      <w:r>
        <w:rPr>
          <w:rFonts w:hint="eastAsia" w:ascii="楷体_GB2312" w:hAnsi="楷体_GB2312" w:eastAsia="楷体_GB2312" w:cs="楷体_GB2312"/>
          <w:color w:val="auto"/>
          <w:sz w:val="28"/>
          <w:szCs w:val="28"/>
          <w:highlight w:val="none"/>
          <w:lang w:eastAsia="zh-CN"/>
        </w:rPr>
        <w:t>竞谈</w:t>
      </w:r>
      <w:r>
        <w:rPr>
          <w:rFonts w:ascii="楷体_GB2312" w:hAnsi="楷体_GB2312" w:eastAsia="楷体_GB2312" w:cs="楷体_GB2312"/>
          <w:color w:val="auto"/>
          <w:sz w:val="28"/>
          <w:szCs w:val="28"/>
          <w:highlight w:val="none"/>
        </w:rPr>
        <w:t>的目的，我公司可否决全部</w:t>
      </w:r>
      <w:r>
        <w:rPr>
          <w:rFonts w:hint="eastAsia" w:ascii="楷体_GB2312" w:hAnsi="楷体_GB2312" w:eastAsia="楷体_GB2312" w:cs="楷体_GB2312"/>
          <w:color w:val="auto"/>
          <w:sz w:val="28"/>
          <w:szCs w:val="28"/>
          <w:highlight w:val="none"/>
          <w:lang w:eastAsia="zh-CN"/>
        </w:rPr>
        <w:t>竞谈</w:t>
      </w:r>
      <w:r>
        <w:rPr>
          <w:rFonts w:ascii="楷体_GB2312" w:hAnsi="楷体_GB2312" w:eastAsia="楷体_GB2312" w:cs="楷体_GB2312"/>
          <w:color w:val="auto"/>
          <w:sz w:val="28"/>
          <w:szCs w:val="28"/>
          <w:highlight w:val="none"/>
        </w:rPr>
        <w:t>，有权另行组织</w:t>
      </w:r>
      <w:r>
        <w:rPr>
          <w:rFonts w:hint="eastAsia" w:ascii="楷体_GB2312" w:hAnsi="楷体_GB2312" w:eastAsia="楷体_GB2312" w:cs="楷体_GB2312"/>
          <w:color w:val="auto"/>
          <w:sz w:val="28"/>
          <w:szCs w:val="28"/>
          <w:highlight w:val="none"/>
          <w:lang w:eastAsia="zh-CN"/>
        </w:rPr>
        <w:t>竞谈</w:t>
      </w:r>
      <w:r>
        <w:rPr>
          <w:rFonts w:ascii="楷体_GB2312" w:hAnsi="楷体_GB2312" w:eastAsia="楷体_GB2312" w:cs="楷体_GB2312"/>
          <w:color w:val="auto"/>
          <w:sz w:val="28"/>
          <w:szCs w:val="28"/>
          <w:highlight w:val="none"/>
        </w:rPr>
        <w:t>。</w:t>
      </w:r>
    </w:p>
    <w:p w14:paraId="3FD520D3">
      <w:pPr>
        <w:autoSpaceDE w:val="0"/>
        <w:autoSpaceDN w:val="0"/>
        <w:adjustRightInd w:val="0"/>
        <w:spacing w:line="460" w:lineRule="exact"/>
        <w:ind w:firstLine="562" w:firstLineChars="200"/>
        <w:rPr>
          <w:rFonts w:hint="eastAsia" w:ascii="楷体_GB2312" w:hAnsi="楷体_GB2312" w:eastAsia="楷体_GB2312" w:cs="楷体_GB2312"/>
          <w:b/>
          <w:bCs/>
          <w:color w:val="auto"/>
          <w:sz w:val="28"/>
          <w:szCs w:val="28"/>
          <w:highlight w:val="none"/>
          <w:lang w:val="en-US" w:eastAsia="zh-CN"/>
        </w:rPr>
      </w:pPr>
      <w:r>
        <w:rPr>
          <w:rFonts w:hint="eastAsia" w:ascii="楷体_GB2312" w:hAnsi="楷体_GB2312" w:eastAsia="楷体_GB2312" w:cs="楷体_GB2312"/>
          <w:b/>
          <w:bCs/>
          <w:color w:val="auto"/>
          <w:sz w:val="28"/>
          <w:szCs w:val="28"/>
          <w:highlight w:val="none"/>
          <w:lang w:val="en-US" w:eastAsia="zh-CN"/>
        </w:rPr>
        <w:t>十、不平衡报价的处理</w:t>
      </w:r>
    </w:p>
    <w:p w14:paraId="7E3B8D66">
      <w:pPr>
        <w:autoSpaceDE w:val="0"/>
        <w:autoSpaceDN w:val="0"/>
        <w:spacing w:line="460" w:lineRule="exact"/>
        <w:ind w:firstLine="560"/>
        <w:rPr>
          <w:rFonts w:ascii="楷体_GB2312" w:hAnsi="楷体_GB2312" w:eastAsia="楷体_GB2312" w:cs="楷体_GB2312"/>
          <w:bCs/>
          <w:color w:val="auto"/>
          <w:sz w:val="28"/>
          <w:szCs w:val="28"/>
          <w:highlight w:val="none"/>
        </w:rPr>
      </w:pPr>
      <w:r>
        <w:rPr>
          <w:rFonts w:ascii="楷体_GB2312" w:hAnsi="楷体_GB2312" w:eastAsia="楷体_GB2312" w:cs="楷体_GB2312"/>
          <w:color w:val="auto"/>
          <w:sz w:val="28"/>
          <w:szCs w:val="28"/>
          <w:highlight w:val="none"/>
        </w:rPr>
        <w:t>采购人在对拟中标单位报价清单进行审核过程中，如发现其报价清单存在不平衡报价的情况，有权要求拟中标单位在保持报价总价不变的情况下对不合理的清单单价进行调整。调整后的清单将作为签订合同的一部分。拟中标单位如拒绝调整，采购人有权取消其中标人资格</w:t>
      </w:r>
      <w:r>
        <w:rPr>
          <w:rFonts w:ascii="楷体_GB2312" w:hAnsi="楷体_GB2312" w:eastAsia="楷体_GB2312" w:cs="楷体_GB2312"/>
          <w:bCs/>
          <w:color w:val="auto"/>
          <w:sz w:val="28"/>
          <w:szCs w:val="28"/>
          <w:highlight w:val="none"/>
        </w:rPr>
        <w:t>。</w:t>
      </w:r>
    </w:p>
    <w:p w14:paraId="0042A580">
      <w:pPr>
        <w:keepNext w:val="0"/>
        <w:keepLines w:val="0"/>
        <w:pageBreakBefore w:val="0"/>
        <w:widowControl w:val="0"/>
        <w:kinsoku/>
        <w:wordWrap/>
        <w:overflowPunct/>
        <w:topLinePunct w:val="0"/>
        <w:autoSpaceDE w:val="0"/>
        <w:autoSpaceDN w:val="0"/>
        <w:bidi w:val="0"/>
        <w:adjustRightInd w:val="0"/>
        <w:snapToGrid/>
        <w:spacing w:line="440" w:lineRule="exact"/>
        <w:ind w:firstLine="560" w:firstLineChars="200"/>
        <w:textAlignment w:val="auto"/>
        <w:rPr>
          <w:rFonts w:hint="eastAsia" w:ascii="楷体_GB2312" w:hAnsi="楷体_GB2312" w:eastAsia="楷体_GB2312" w:cs="楷体_GB2312"/>
          <w:color w:val="auto"/>
          <w:kern w:val="0"/>
          <w:sz w:val="28"/>
          <w:szCs w:val="28"/>
          <w:highlight w:val="none"/>
          <w:lang w:val="en-US" w:eastAsia="zh-CN"/>
        </w:rPr>
      </w:pPr>
    </w:p>
    <w:p w14:paraId="6F6FB076">
      <w:pPr>
        <w:keepNext w:val="0"/>
        <w:keepLines w:val="0"/>
        <w:pageBreakBefore w:val="0"/>
        <w:widowControl w:val="0"/>
        <w:kinsoku/>
        <w:wordWrap/>
        <w:overflowPunct/>
        <w:topLinePunct w:val="0"/>
        <w:autoSpaceDE w:val="0"/>
        <w:autoSpaceDN w:val="0"/>
        <w:bidi w:val="0"/>
        <w:adjustRightInd w:val="0"/>
        <w:snapToGrid/>
        <w:spacing w:line="440" w:lineRule="exact"/>
        <w:ind w:firstLine="560" w:firstLineChars="200"/>
        <w:textAlignment w:val="auto"/>
        <w:rPr>
          <w:rFonts w:hint="default" w:ascii="楷体_GB2312" w:hAnsi="楷体_GB2312" w:eastAsia="楷体_GB2312" w:cs="楷体_GB2312"/>
          <w:color w:val="auto"/>
          <w:kern w:val="0"/>
          <w:sz w:val="28"/>
          <w:szCs w:val="28"/>
          <w:highlight w:val="none"/>
          <w:lang w:val="en-US" w:eastAsia="zh-CN"/>
        </w:rPr>
      </w:pPr>
      <w:r>
        <w:rPr>
          <w:rFonts w:hint="eastAsia" w:ascii="楷体_GB2312" w:hAnsi="楷体_GB2312" w:eastAsia="楷体_GB2312" w:cs="楷体_GB2312"/>
          <w:color w:val="auto"/>
          <w:kern w:val="0"/>
          <w:sz w:val="28"/>
          <w:szCs w:val="28"/>
          <w:highlight w:val="none"/>
          <w:lang w:val="en-US" w:eastAsia="zh-CN"/>
        </w:rPr>
        <w:t>报名电话：18263060721</w:t>
      </w:r>
    </w:p>
    <w:p w14:paraId="21BFDD9C">
      <w:pPr>
        <w:pStyle w:val="13"/>
        <w:numPr>
          <w:ilvl w:val="0"/>
          <w:numId w:val="0"/>
        </w:numPr>
        <w:spacing w:line="480" w:lineRule="exact"/>
        <w:ind w:leftChars="0"/>
        <w:rPr>
          <w:rFonts w:ascii="楷体_GB2312" w:hAnsi="楷体_GB2312" w:eastAsia="楷体_GB2312" w:cs="楷体_GB2312"/>
          <w:color w:val="auto"/>
          <w:sz w:val="28"/>
          <w:szCs w:val="28"/>
          <w:highlight w:val="none"/>
        </w:rPr>
      </w:pPr>
    </w:p>
    <w:p w14:paraId="65456A1B">
      <w:pPr>
        <w:spacing w:line="480" w:lineRule="exact"/>
        <w:rPr>
          <w:rFonts w:ascii="楷体_GB2312" w:hAnsi="楷体_GB2312" w:eastAsia="楷体_GB2312" w:cs="楷体_GB2312"/>
          <w:bCs/>
          <w:color w:val="auto"/>
          <w:sz w:val="28"/>
          <w:szCs w:val="28"/>
          <w:highlight w:val="none"/>
        </w:rPr>
      </w:pPr>
    </w:p>
    <w:p w14:paraId="1E56C9B9">
      <w:pPr>
        <w:spacing w:line="480" w:lineRule="exact"/>
        <w:rPr>
          <w:rFonts w:ascii="楷体_GB2312" w:hAnsi="楷体_GB2312" w:eastAsia="楷体_GB2312" w:cs="楷体_GB2312"/>
          <w:bCs/>
          <w:color w:val="auto"/>
          <w:sz w:val="28"/>
          <w:szCs w:val="28"/>
          <w:highlight w:val="none"/>
        </w:rPr>
      </w:pPr>
    </w:p>
    <w:p w14:paraId="0840AB84">
      <w:pPr>
        <w:spacing w:line="480" w:lineRule="exact"/>
        <w:rPr>
          <w:rFonts w:ascii="楷体_GB2312" w:hAnsi="楷体_GB2312" w:eastAsia="楷体_GB2312" w:cs="楷体_GB2312"/>
          <w:bCs/>
          <w:color w:val="auto"/>
          <w:sz w:val="28"/>
          <w:szCs w:val="28"/>
          <w:highlight w:val="none"/>
        </w:rPr>
      </w:pPr>
    </w:p>
    <w:p w14:paraId="4EE24CCD">
      <w:pPr>
        <w:spacing w:line="480" w:lineRule="exact"/>
        <w:jc w:val="right"/>
        <w:rPr>
          <w:rFonts w:hint="default" w:ascii="楷体_GB2312" w:hAnsi="楷体_GB2312" w:eastAsia="楷体_GB2312" w:cs="楷体_GB2312"/>
          <w:bCs/>
          <w:color w:val="auto"/>
          <w:sz w:val="28"/>
          <w:szCs w:val="28"/>
          <w:highlight w:val="none"/>
          <w:lang w:val="en-US" w:eastAsia="zh-CN"/>
        </w:rPr>
      </w:pPr>
      <w:r>
        <w:rPr>
          <w:rFonts w:hint="eastAsia" w:ascii="楷体_GB2312" w:hAnsi="楷体_GB2312" w:eastAsia="楷体_GB2312" w:cs="楷体_GB2312"/>
          <w:bCs/>
          <w:color w:val="auto"/>
          <w:sz w:val="28"/>
          <w:szCs w:val="28"/>
          <w:highlight w:val="none"/>
        </w:rPr>
        <w:t xml:space="preserve">              </w:t>
      </w:r>
      <w:r>
        <w:rPr>
          <w:rFonts w:hint="eastAsia" w:ascii="楷体_GB2312" w:hAnsi="楷体_GB2312" w:eastAsia="楷体_GB2312" w:cs="楷体_GB2312"/>
          <w:bCs/>
          <w:color w:val="auto"/>
          <w:sz w:val="28"/>
          <w:szCs w:val="28"/>
          <w:highlight w:val="none"/>
          <w:lang w:val="en-US" w:eastAsia="zh-CN"/>
        </w:rPr>
        <w:t>德达交通建设发展集团有限公司</w:t>
      </w:r>
    </w:p>
    <w:p w14:paraId="7D187CE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楷体_GB2312" w:hAnsi="楷体_GB2312" w:eastAsia="楷体_GB2312" w:cs="楷体_GB2312"/>
          <w:bCs/>
          <w:color w:val="auto"/>
          <w:sz w:val="28"/>
          <w:szCs w:val="28"/>
          <w:highlight w:val="yellow"/>
        </w:rPr>
      </w:pPr>
      <w:r>
        <w:rPr>
          <w:rFonts w:hint="eastAsia" w:ascii="楷体_GB2312" w:hAnsi="楷体_GB2312" w:eastAsia="楷体_GB2312" w:cs="楷体_GB2312"/>
          <w:bCs/>
          <w:color w:val="auto"/>
          <w:sz w:val="28"/>
          <w:szCs w:val="28"/>
          <w:highlight w:val="none"/>
          <w:lang w:val="en-US" w:eastAsia="zh-CN"/>
        </w:rPr>
        <w:t xml:space="preserve">                                 2025</w:t>
      </w:r>
      <w:r>
        <w:rPr>
          <w:rFonts w:hint="eastAsia" w:ascii="楷体_GB2312" w:hAnsi="楷体_GB2312" w:eastAsia="楷体_GB2312" w:cs="楷体_GB2312"/>
          <w:bCs/>
          <w:color w:val="auto"/>
          <w:sz w:val="28"/>
          <w:szCs w:val="28"/>
          <w:highlight w:val="none"/>
        </w:rPr>
        <w:t>年</w:t>
      </w:r>
      <w:r>
        <w:rPr>
          <w:rFonts w:hint="eastAsia" w:ascii="楷体_GB2312" w:hAnsi="楷体_GB2312" w:eastAsia="楷体_GB2312" w:cs="楷体_GB2312"/>
          <w:bCs/>
          <w:color w:val="auto"/>
          <w:sz w:val="28"/>
          <w:szCs w:val="28"/>
          <w:highlight w:val="none"/>
          <w:lang w:val="en-US" w:eastAsia="zh-CN"/>
        </w:rPr>
        <w:t>4</w:t>
      </w:r>
      <w:r>
        <w:rPr>
          <w:rFonts w:hint="eastAsia" w:ascii="楷体_GB2312" w:hAnsi="楷体_GB2312" w:eastAsia="楷体_GB2312" w:cs="楷体_GB2312"/>
          <w:bCs/>
          <w:color w:val="auto"/>
          <w:sz w:val="28"/>
          <w:szCs w:val="28"/>
          <w:highlight w:val="none"/>
        </w:rPr>
        <w:t>月</w:t>
      </w:r>
      <w:r>
        <w:rPr>
          <w:rFonts w:hint="eastAsia" w:ascii="楷体_GB2312" w:hAnsi="楷体_GB2312" w:eastAsia="楷体_GB2312" w:cs="楷体_GB2312"/>
          <w:bCs/>
          <w:color w:val="auto"/>
          <w:sz w:val="28"/>
          <w:szCs w:val="28"/>
          <w:highlight w:val="none"/>
          <w:lang w:val="en-US" w:eastAsia="zh-CN"/>
        </w:rPr>
        <w:t>15</w:t>
      </w:r>
      <w:r>
        <w:rPr>
          <w:rFonts w:hint="eastAsia" w:ascii="楷体_GB2312" w:hAnsi="楷体_GB2312" w:eastAsia="楷体_GB2312" w:cs="楷体_GB2312"/>
          <w:bCs/>
          <w:color w:val="auto"/>
          <w:sz w:val="28"/>
          <w:szCs w:val="28"/>
          <w:highlight w:val="none"/>
        </w:rPr>
        <w:t>日</w:t>
      </w:r>
    </w:p>
    <w:p w14:paraId="769542DC">
      <w:pPr>
        <w:keepNext w:val="0"/>
        <w:keepLines w:val="0"/>
        <w:pageBreakBefore w:val="0"/>
        <w:widowControl w:val="0"/>
        <w:kinsoku/>
        <w:wordWrap/>
        <w:overflowPunct/>
        <w:topLinePunct w:val="0"/>
        <w:autoSpaceDE w:val="0"/>
        <w:autoSpaceDN w:val="0"/>
        <w:bidi w:val="0"/>
        <w:adjustRightInd w:val="0"/>
        <w:snapToGrid/>
        <w:spacing w:line="440" w:lineRule="exact"/>
        <w:ind w:firstLine="560" w:firstLineChars="200"/>
        <w:textAlignment w:val="auto"/>
        <w:rPr>
          <w:rFonts w:hint="eastAsia" w:ascii="楷体_GB2312" w:hAnsi="楷体_GB2312" w:eastAsia="楷体_GB2312" w:cs="楷体_GB2312"/>
          <w:color w:val="auto"/>
          <w:kern w:val="0"/>
          <w:sz w:val="28"/>
          <w:szCs w:val="28"/>
          <w:highlight w:val="none"/>
          <w:lang w:val="en-US" w:eastAsia="zh-CN"/>
        </w:rPr>
      </w:pPr>
    </w:p>
    <w:p w14:paraId="332E95C4">
      <w:pPr>
        <w:keepNext w:val="0"/>
        <w:keepLines w:val="0"/>
        <w:pageBreakBefore w:val="0"/>
        <w:widowControl w:val="0"/>
        <w:kinsoku/>
        <w:wordWrap/>
        <w:overflowPunct/>
        <w:topLinePunct w:val="0"/>
        <w:autoSpaceDE w:val="0"/>
        <w:autoSpaceDN w:val="0"/>
        <w:bidi w:val="0"/>
        <w:adjustRightInd w:val="0"/>
        <w:snapToGrid/>
        <w:spacing w:line="440" w:lineRule="exact"/>
        <w:ind w:firstLine="560" w:firstLineChars="200"/>
        <w:jc w:val="right"/>
        <w:textAlignment w:val="auto"/>
        <w:rPr>
          <w:rFonts w:hint="eastAsia" w:ascii="楷体_GB2312" w:hAnsi="楷体_GB2312" w:eastAsia="楷体_GB2312" w:cs="楷体_GB2312"/>
          <w:color w:val="auto"/>
          <w:kern w:val="0"/>
          <w:sz w:val="28"/>
          <w:szCs w:val="28"/>
          <w:highlight w:val="none"/>
          <w:lang w:val="en-US" w:eastAsia="zh-CN"/>
        </w:rPr>
      </w:pPr>
    </w:p>
    <w:p w14:paraId="62C27465">
      <w:pPr>
        <w:keepNext w:val="0"/>
        <w:keepLines w:val="0"/>
        <w:pageBreakBefore w:val="0"/>
        <w:widowControl w:val="0"/>
        <w:kinsoku/>
        <w:wordWrap/>
        <w:overflowPunct/>
        <w:topLinePunct w:val="0"/>
        <w:autoSpaceDE w:val="0"/>
        <w:autoSpaceDN w:val="0"/>
        <w:bidi w:val="0"/>
        <w:adjustRightInd w:val="0"/>
        <w:snapToGrid/>
        <w:spacing w:line="440" w:lineRule="exact"/>
        <w:ind w:firstLine="560" w:firstLineChars="200"/>
        <w:jc w:val="right"/>
        <w:textAlignment w:val="auto"/>
        <w:rPr>
          <w:rFonts w:hint="eastAsia" w:ascii="楷体_GB2312" w:hAnsi="楷体_GB2312" w:eastAsia="楷体_GB2312" w:cs="楷体_GB2312"/>
          <w:color w:val="auto"/>
          <w:kern w:val="0"/>
          <w:sz w:val="28"/>
          <w:szCs w:val="28"/>
          <w:highlight w:val="none"/>
          <w:lang w:val="en-US" w:eastAsia="zh-CN"/>
        </w:rPr>
      </w:pPr>
    </w:p>
    <w:p w14:paraId="3DA3CFF8">
      <w:pPr>
        <w:keepNext w:val="0"/>
        <w:keepLines w:val="0"/>
        <w:pageBreakBefore w:val="0"/>
        <w:widowControl w:val="0"/>
        <w:kinsoku/>
        <w:wordWrap/>
        <w:overflowPunct/>
        <w:topLinePunct w:val="0"/>
        <w:autoSpaceDE w:val="0"/>
        <w:autoSpaceDN w:val="0"/>
        <w:bidi w:val="0"/>
        <w:adjustRightInd w:val="0"/>
        <w:snapToGrid/>
        <w:spacing w:line="440" w:lineRule="exact"/>
        <w:ind w:firstLine="560" w:firstLineChars="200"/>
        <w:jc w:val="right"/>
        <w:textAlignment w:val="auto"/>
        <w:rPr>
          <w:rFonts w:hint="eastAsia" w:ascii="楷体_GB2312" w:hAnsi="楷体_GB2312" w:eastAsia="楷体_GB2312" w:cs="楷体_GB2312"/>
          <w:color w:val="auto"/>
          <w:kern w:val="0"/>
          <w:sz w:val="28"/>
          <w:szCs w:val="28"/>
          <w:highlight w:val="none"/>
          <w:lang w:val="en-US" w:eastAsia="zh-CN"/>
        </w:rPr>
      </w:pPr>
    </w:p>
    <w:p w14:paraId="25313145">
      <w:pPr>
        <w:keepNext w:val="0"/>
        <w:keepLines w:val="0"/>
        <w:pageBreakBefore w:val="0"/>
        <w:widowControl w:val="0"/>
        <w:kinsoku/>
        <w:wordWrap/>
        <w:overflowPunct/>
        <w:topLinePunct w:val="0"/>
        <w:autoSpaceDE w:val="0"/>
        <w:autoSpaceDN w:val="0"/>
        <w:bidi w:val="0"/>
        <w:adjustRightInd w:val="0"/>
        <w:snapToGrid/>
        <w:spacing w:line="440" w:lineRule="exact"/>
        <w:ind w:firstLine="560" w:firstLineChars="200"/>
        <w:jc w:val="right"/>
        <w:textAlignment w:val="auto"/>
        <w:rPr>
          <w:rFonts w:hint="eastAsia" w:ascii="楷体_GB2312" w:hAnsi="楷体_GB2312" w:eastAsia="楷体_GB2312" w:cs="楷体_GB2312"/>
          <w:color w:val="auto"/>
          <w:kern w:val="0"/>
          <w:sz w:val="28"/>
          <w:szCs w:val="28"/>
          <w:highlight w:val="none"/>
          <w:lang w:val="en-US" w:eastAsia="zh-CN"/>
        </w:rPr>
      </w:pPr>
    </w:p>
    <w:p w14:paraId="67BF7CE2">
      <w:pPr>
        <w:spacing w:before="128" w:line="223" w:lineRule="auto"/>
        <w:rPr>
          <w:rFonts w:hint="eastAsia" w:eastAsia="宋体"/>
          <w:b/>
          <w:bCs/>
          <w:color w:val="auto"/>
          <w:sz w:val="24"/>
          <w:szCs w:val="24"/>
          <w:highlight w:val="none"/>
          <w:lang w:val="en-US" w:eastAsia="zh-CN"/>
        </w:rPr>
      </w:pPr>
    </w:p>
    <w:p w14:paraId="02F2F9E8">
      <w:pPr>
        <w:spacing w:before="128" w:line="223" w:lineRule="auto"/>
        <w:rPr>
          <w:rFonts w:hint="eastAsia" w:eastAsia="宋体"/>
          <w:b/>
          <w:bCs/>
          <w:color w:val="auto"/>
          <w:sz w:val="24"/>
          <w:szCs w:val="24"/>
          <w:highlight w:val="none"/>
          <w:lang w:val="en-US" w:eastAsia="zh-CN"/>
        </w:rPr>
      </w:pPr>
    </w:p>
    <w:p w14:paraId="12305315">
      <w:pPr>
        <w:rPr>
          <w:rFonts w:hint="eastAsia" w:eastAsia="宋体"/>
          <w:b/>
          <w:bCs/>
          <w:color w:val="auto"/>
          <w:sz w:val="24"/>
          <w:szCs w:val="24"/>
          <w:highlight w:val="none"/>
          <w:lang w:val="en-US" w:eastAsia="zh-CN"/>
        </w:rPr>
      </w:pPr>
      <w:r>
        <w:rPr>
          <w:rFonts w:hint="eastAsia" w:eastAsia="宋体"/>
          <w:b/>
          <w:bCs/>
          <w:color w:val="auto"/>
          <w:sz w:val="24"/>
          <w:szCs w:val="24"/>
          <w:highlight w:val="none"/>
          <w:lang w:val="en-US" w:eastAsia="zh-CN"/>
        </w:rPr>
        <w:br w:type="page"/>
      </w:r>
    </w:p>
    <w:p w14:paraId="3A8A0EC8">
      <w:pPr>
        <w:spacing w:before="128" w:line="223" w:lineRule="auto"/>
        <w:rPr>
          <w:rFonts w:hint="eastAsia" w:eastAsia="宋体"/>
          <w:b/>
          <w:bCs/>
          <w:color w:val="auto"/>
          <w:sz w:val="24"/>
          <w:szCs w:val="24"/>
          <w:highlight w:val="none"/>
          <w:lang w:val="en-US" w:eastAsia="zh-CN"/>
        </w:rPr>
      </w:pPr>
      <w:r>
        <w:rPr>
          <w:rFonts w:hint="eastAsia" w:eastAsia="宋体"/>
          <w:b/>
          <w:bCs/>
          <w:color w:val="auto"/>
          <w:sz w:val="24"/>
          <w:szCs w:val="24"/>
          <w:highlight w:val="none"/>
          <w:lang w:val="en-US" w:eastAsia="zh-CN"/>
        </w:rPr>
        <w:t>附表1：</w:t>
      </w:r>
    </w:p>
    <w:p w14:paraId="21CD0C3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楷体_GB2312" w:hAnsi="楷体_GB2312" w:eastAsia="楷体_GB2312" w:cs="楷体_GB2312"/>
          <w:b/>
          <w:color w:val="auto"/>
          <w:sz w:val="36"/>
          <w:szCs w:val="36"/>
          <w:highlight w:val="none"/>
          <w:lang w:val="en-US" w:eastAsia="zh-CN"/>
        </w:rPr>
      </w:pPr>
    </w:p>
    <w:p w14:paraId="2957A7B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楷体_GB2312" w:hAnsi="楷体_GB2312" w:eastAsia="楷体_GB2312" w:cs="楷体_GB2312"/>
          <w:b/>
          <w:color w:val="auto"/>
          <w:sz w:val="36"/>
          <w:szCs w:val="36"/>
          <w:highlight w:val="none"/>
          <w:lang w:val="en-US" w:eastAsia="zh-CN"/>
        </w:rPr>
      </w:pPr>
    </w:p>
    <w:p w14:paraId="6A679E6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楷体_GB2312" w:hAnsi="楷体_GB2312" w:eastAsia="楷体_GB2312" w:cs="楷体_GB2312"/>
          <w:b/>
          <w:color w:val="000000"/>
          <w:sz w:val="36"/>
          <w:szCs w:val="36"/>
          <w:lang w:val="en-US" w:eastAsia="zh-CN"/>
        </w:rPr>
      </w:pPr>
      <w:r>
        <w:rPr>
          <w:rFonts w:hint="eastAsia" w:ascii="楷体_GB2312" w:hAnsi="楷体_GB2312" w:eastAsia="楷体_GB2312" w:cs="楷体_GB2312"/>
          <w:b/>
          <w:color w:val="000000"/>
          <w:sz w:val="36"/>
          <w:szCs w:val="36"/>
          <w:lang w:val="en-US" w:eastAsia="zh-CN"/>
        </w:rPr>
        <w:t>路面工程公司零星工程</w:t>
      </w:r>
    </w:p>
    <w:p w14:paraId="088885A6">
      <w:pPr>
        <w:jc w:val="center"/>
        <w:rPr>
          <w:rFonts w:hint="eastAsia" w:eastAsia="宋体"/>
          <w:color w:val="auto"/>
          <w:highlight w:val="none"/>
          <w:lang w:val="en-US" w:eastAsia="zh-CN"/>
        </w:rPr>
      </w:pPr>
      <w:r>
        <w:rPr>
          <w:rFonts w:hint="eastAsia" w:ascii="楷体_GB2312" w:hAnsi="楷体_GB2312" w:eastAsia="楷体_GB2312" w:cs="楷体_GB2312"/>
          <w:b/>
          <w:color w:val="000000"/>
          <w:sz w:val="36"/>
          <w:szCs w:val="36"/>
          <w:lang w:val="en-US" w:eastAsia="zh-CN"/>
        </w:rPr>
        <w:t>丙烷液化石油气采购</w:t>
      </w:r>
      <w:r>
        <w:rPr>
          <w:rFonts w:hint="eastAsia" w:ascii="楷体_GB2312" w:hAnsi="楷体_GB2312" w:eastAsia="楷体_GB2312" w:cs="楷体_GB2312"/>
          <w:b/>
          <w:color w:val="auto"/>
          <w:sz w:val="36"/>
          <w:szCs w:val="36"/>
          <w:highlight w:val="none"/>
          <w:lang w:val="en-US" w:eastAsia="zh-CN"/>
        </w:rPr>
        <w:t>项目竞谈报价（首轮）</w:t>
      </w:r>
    </w:p>
    <w:p w14:paraId="5161C73F">
      <w:pPr>
        <w:keepNext w:val="0"/>
        <w:keepLines w:val="0"/>
        <w:pageBreakBefore w:val="0"/>
        <w:numPr>
          <w:ilvl w:val="0"/>
          <w:numId w:val="0"/>
        </w:numPr>
        <w:kinsoku/>
        <w:wordWrap/>
        <w:overflowPunct/>
        <w:topLinePunct w:val="0"/>
        <w:bidi w:val="0"/>
        <w:snapToGrid/>
        <w:spacing w:line="470" w:lineRule="exact"/>
        <w:jc w:val="right"/>
        <w:rPr>
          <w:rFonts w:hint="eastAsia" w:asciiTheme="minorEastAsia" w:hAnsiTheme="minorEastAsia" w:eastAsiaTheme="minorEastAsia" w:cstheme="minorEastAsia"/>
          <w:b/>
          <w:color w:val="auto"/>
          <w:kern w:val="0"/>
          <w:sz w:val="28"/>
          <w:szCs w:val="28"/>
          <w:highlight w:val="none"/>
          <w:lang w:val="en-US" w:eastAsia="zh-CN" w:bidi="ar-SA"/>
        </w:rPr>
      </w:pPr>
      <w:r>
        <w:rPr>
          <w:rFonts w:hint="eastAsia" w:ascii="宋体" w:eastAsia="宋体" w:cs="宋体"/>
          <w:color w:val="auto"/>
          <w:kern w:val="0"/>
          <w:sz w:val="24"/>
          <w:szCs w:val="24"/>
          <w:highlight w:val="none"/>
        </w:rPr>
        <w:t>货币单位:人民币（元）</w:t>
      </w:r>
    </w:p>
    <w:tbl>
      <w:tblPr>
        <w:tblStyle w:val="8"/>
        <w:tblpPr w:leftFromText="180" w:rightFromText="180" w:vertAnchor="text" w:horzAnchor="page" w:tblpX="1330" w:tblpY="110"/>
        <w:tblOverlap w:val="never"/>
        <w:tblW w:w="9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3"/>
        <w:gridCol w:w="2169"/>
        <w:gridCol w:w="736"/>
        <w:gridCol w:w="1183"/>
        <w:gridCol w:w="2087"/>
        <w:gridCol w:w="2131"/>
      </w:tblGrid>
      <w:tr w14:paraId="7208E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3"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CB1F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序号</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0261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细目名称</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C732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单位</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0D61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数量</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F49D8">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不含税单价</w:t>
            </w:r>
          </w:p>
          <w:p w14:paraId="1EA9FBD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（元/吨）</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83ADE">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不含税合计（元）</w:t>
            </w:r>
          </w:p>
        </w:tc>
      </w:tr>
      <w:tr w14:paraId="123B8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1"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FD4D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8DCCD">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丙烷液化石油气</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B9BC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吨</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6DE8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120.00 </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48679">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131" w:type="dxa"/>
            <w:tcBorders>
              <w:top w:val="single" w:color="000000" w:sz="4" w:space="0"/>
              <w:left w:val="single" w:color="000000" w:sz="4" w:space="0"/>
              <w:bottom w:val="single" w:color="auto" w:sz="4" w:space="0"/>
              <w:right w:val="single" w:color="000000" w:sz="4" w:space="0"/>
            </w:tcBorders>
            <w:shd w:val="clear" w:color="auto" w:fill="auto"/>
            <w:vAlign w:val="center"/>
          </w:tcPr>
          <w:p w14:paraId="71C00791">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3D9BF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trPr>
        <w:tc>
          <w:tcPr>
            <w:tcW w:w="908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877360E">
            <w:pPr>
              <w:keepNext w:val="0"/>
              <w:keepLines w:val="0"/>
              <w:widowControl/>
              <w:suppressLineNumbers w:val="0"/>
              <w:ind w:firstLine="1200" w:firstLineChars="500"/>
              <w:jc w:val="left"/>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不含税合计： </w:t>
            </w:r>
            <w:r>
              <w:rPr>
                <w:rFonts w:hint="eastAsia" w:ascii="宋体" w:hAnsi="宋体" w:eastAsia="宋体" w:cs="宋体"/>
                <w:i w:val="0"/>
                <w:iCs w:val="0"/>
                <w:color w:val="000000"/>
                <w:kern w:val="0"/>
                <w:sz w:val="24"/>
                <w:szCs w:val="24"/>
                <w:highlight w:val="none"/>
                <w:u w:val="single"/>
                <w:lang w:val="en-US" w:eastAsia="zh-CN" w:bidi="ar"/>
              </w:rPr>
              <w:t xml:space="preserve">           （元）</w:t>
            </w:r>
            <w:r>
              <w:rPr>
                <w:rFonts w:hint="eastAsia" w:ascii="宋体" w:hAnsi="宋体" w:eastAsia="宋体" w:cs="宋体"/>
                <w:i w:val="0"/>
                <w:iCs w:val="0"/>
                <w:color w:val="000000"/>
                <w:kern w:val="0"/>
                <w:sz w:val="24"/>
                <w:szCs w:val="24"/>
                <w:highlight w:val="none"/>
                <w:u w:val="none"/>
                <w:lang w:val="en-US" w:eastAsia="zh-CN" w:bidi="ar"/>
              </w:rPr>
              <w:t xml:space="preserve">  大写：</w:t>
            </w:r>
            <w:r>
              <w:rPr>
                <w:rFonts w:hint="eastAsia" w:ascii="宋体" w:hAnsi="宋体" w:eastAsia="宋体" w:cs="宋体"/>
                <w:i w:val="0"/>
                <w:iCs w:val="0"/>
                <w:color w:val="000000"/>
                <w:kern w:val="0"/>
                <w:sz w:val="24"/>
                <w:szCs w:val="24"/>
                <w:highlight w:val="none"/>
                <w:u w:val="single"/>
                <w:lang w:val="en-US" w:eastAsia="zh-CN" w:bidi="ar"/>
              </w:rPr>
              <w:t xml:space="preserve">              </w:t>
            </w:r>
          </w:p>
        </w:tc>
      </w:tr>
      <w:tr w14:paraId="07B6E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3" w:hRule="atLeast"/>
        </w:trPr>
        <w:tc>
          <w:tcPr>
            <w:tcW w:w="908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EF1DD38">
            <w:pPr>
              <w:autoSpaceDE w:val="0"/>
              <w:autoSpaceDN w:val="0"/>
              <w:spacing w:line="460" w:lineRule="exact"/>
              <w:ind w:firstLine="560"/>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注：单价为不含税单价，税率根据实际税率变化。包含材料、运费、存储、装卸、人员等直到泵入热再生设备燃料罐的一切费用。</w:t>
            </w:r>
          </w:p>
        </w:tc>
      </w:tr>
    </w:tbl>
    <w:p w14:paraId="62A1750D">
      <w:pPr>
        <w:spacing w:line="620" w:lineRule="exact"/>
        <w:rPr>
          <w:rFonts w:hint="eastAsia" w:ascii="楷体_GB2312" w:hAnsi="楷体_GB2312" w:eastAsia="楷体_GB2312" w:cs="楷体_GB2312"/>
          <w:b/>
          <w:bCs/>
          <w:color w:val="auto"/>
          <w:sz w:val="28"/>
          <w:szCs w:val="28"/>
          <w:highlight w:val="none"/>
          <w:lang w:eastAsia="zh-CN"/>
        </w:rPr>
      </w:pPr>
    </w:p>
    <w:p w14:paraId="45B36815">
      <w:pPr>
        <w:spacing w:line="620" w:lineRule="exact"/>
        <w:ind w:firstLine="3935" w:firstLineChars="1400"/>
        <w:rPr>
          <w:rFonts w:hint="eastAsia" w:ascii="楷体_GB2312" w:hAnsi="楷体_GB2312" w:eastAsia="楷体_GB2312" w:cs="楷体_GB2312"/>
          <w:b/>
          <w:bCs/>
          <w:color w:val="auto"/>
          <w:sz w:val="28"/>
          <w:szCs w:val="28"/>
          <w:highlight w:val="none"/>
          <w:lang w:eastAsia="zh-CN"/>
        </w:rPr>
      </w:pPr>
    </w:p>
    <w:p w14:paraId="4C11B9A6">
      <w:pPr>
        <w:spacing w:line="480" w:lineRule="exact"/>
        <w:jc w:val="right"/>
        <w:rPr>
          <w:rFonts w:hint="default" w:ascii="楷体_GB2312" w:hAnsi="楷体_GB2312" w:eastAsia="楷体_GB2312" w:cs="楷体_GB2312"/>
          <w:bCs/>
          <w:color w:val="auto"/>
          <w:sz w:val="28"/>
          <w:szCs w:val="28"/>
          <w:highlight w:val="none"/>
          <w:lang w:val="en-US" w:eastAsia="zh-CN"/>
        </w:rPr>
      </w:pPr>
      <w:r>
        <w:rPr>
          <w:rFonts w:hint="eastAsia" w:ascii="楷体_GB2312" w:hAnsi="楷体_GB2312" w:eastAsia="楷体_GB2312" w:cs="楷体_GB2312"/>
          <w:bCs/>
          <w:color w:val="auto"/>
          <w:sz w:val="28"/>
          <w:szCs w:val="28"/>
          <w:highlight w:val="none"/>
        </w:rPr>
        <w:t xml:space="preserve">              </w:t>
      </w:r>
      <w:r>
        <w:rPr>
          <w:rFonts w:hint="eastAsia" w:ascii="楷体_GB2312" w:hAnsi="楷体_GB2312" w:eastAsia="楷体_GB2312" w:cs="楷体_GB2312"/>
          <w:bCs/>
          <w:color w:val="auto"/>
          <w:sz w:val="28"/>
          <w:szCs w:val="28"/>
          <w:highlight w:val="none"/>
          <w:lang w:val="en-US" w:eastAsia="zh-CN"/>
        </w:rPr>
        <w:t>德达交通建设发展集团有限公司</w:t>
      </w:r>
    </w:p>
    <w:p w14:paraId="50717BC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楷体_GB2312" w:hAnsi="楷体_GB2312" w:eastAsia="楷体_GB2312" w:cs="楷体_GB2312"/>
          <w:bCs/>
          <w:color w:val="auto"/>
          <w:sz w:val="28"/>
          <w:szCs w:val="28"/>
          <w:highlight w:val="none"/>
        </w:rPr>
      </w:pPr>
      <w:r>
        <w:rPr>
          <w:rFonts w:hint="eastAsia" w:ascii="楷体_GB2312" w:hAnsi="楷体_GB2312" w:eastAsia="楷体_GB2312" w:cs="楷体_GB2312"/>
          <w:bCs/>
          <w:color w:val="auto"/>
          <w:sz w:val="28"/>
          <w:szCs w:val="28"/>
          <w:highlight w:val="none"/>
          <w:lang w:val="en-US" w:eastAsia="zh-CN"/>
        </w:rPr>
        <w:t xml:space="preserve">                                 2025</w:t>
      </w:r>
      <w:r>
        <w:rPr>
          <w:rFonts w:hint="eastAsia" w:ascii="楷体_GB2312" w:hAnsi="楷体_GB2312" w:eastAsia="楷体_GB2312" w:cs="楷体_GB2312"/>
          <w:bCs/>
          <w:color w:val="auto"/>
          <w:sz w:val="28"/>
          <w:szCs w:val="28"/>
          <w:highlight w:val="none"/>
        </w:rPr>
        <w:t>年</w:t>
      </w:r>
      <w:r>
        <w:rPr>
          <w:rFonts w:hint="eastAsia" w:ascii="楷体_GB2312" w:hAnsi="楷体_GB2312" w:eastAsia="楷体_GB2312" w:cs="楷体_GB2312"/>
          <w:bCs/>
          <w:color w:val="auto"/>
          <w:sz w:val="28"/>
          <w:szCs w:val="28"/>
          <w:highlight w:val="none"/>
          <w:lang w:val="en-US" w:eastAsia="zh-CN"/>
        </w:rPr>
        <w:t>4</w:t>
      </w:r>
      <w:r>
        <w:rPr>
          <w:rFonts w:hint="eastAsia" w:ascii="楷体_GB2312" w:hAnsi="楷体_GB2312" w:eastAsia="楷体_GB2312" w:cs="楷体_GB2312"/>
          <w:bCs/>
          <w:color w:val="auto"/>
          <w:sz w:val="28"/>
          <w:szCs w:val="28"/>
          <w:highlight w:val="none"/>
        </w:rPr>
        <w:t>月</w:t>
      </w:r>
      <w:r>
        <w:rPr>
          <w:rFonts w:hint="eastAsia" w:ascii="楷体_GB2312" w:hAnsi="楷体_GB2312" w:eastAsia="楷体_GB2312" w:cs="楷体_GB2312"/>
          <w:bCs/>
          <w:color w:val="auto"/>
          <w:sz w:val="28"/>
          <w:szCs w:val="28"/>
          <w:highlight w:val="none"/>
          <w:lang w:val="en-US" w:eastAsia="zh-CN"/>
        </w:rPr>
        <w:t>15</w:t>
      </w:r>
      <w:r>
        <w:rPr>
          <w:rFonts w:hint="eastAsia" w:ascii="楷体_GB2312" w:hAnsi="楷体_GB2312" w:eastAsia="楷体_GB2312" w:cs="楷体_GB2312"/>
          <w:bCs/>
          <w:color w:val="auto"/>
          <w:sz w:val="28"/>
          <w:szCs w:val="28"/>
          <w:highlight w:val="none"/>
        </w:rPr>
        <w:t>日</w:t>
      </w:r>
    </w:p>
    <w:p w14:paraId="6BE80183">
      <w:pPr>
        <w:keepNext w:val="0"/>
        <w:keepLines w:val="0"/>
        <w:pageBreakBefore w:val="0"/>
        <w:kinsoku/>
        <w:wordWrap/>
        <w:overflowPunct/>
        <w:topLinePunct w:val="0"/>
        <w:autoSpaceDE/>
        <w:autoSpaceDN/>
        <w:bidi w:val="0"/>
        <w:adjustRightInd/>
        <w:snapToGrid/>
        <w:spacing w:afterLines="50" w:line="440" w:lineRule="exact"/>
        <w:jc w:val="center"/>
        <w:textAlignment w:val="auto"/>
        <w:rPr>
          <w:rFonts w:hint="eastAsia" w:asciiTheme="minorEastAsia" w:hAnsiTheme="minorEastAsia" w:eastAsiaTheme="minorEastAsia" w:cstheme="minorEastAsia"/>
          <w:b/>
          <w:color w:val="auto"/>
          <w:kern w:val="0"/>
          <w:sz w:val="28"/>
          <w:szCs w:val="28"/>
          <w:highlight w:val="none"/>
          <w:lang w:val="en-US" w:eastAsia="zh-CN" w:bidi="ar-SA"/>
        </w:rPr>
      </w:pPr>
    </w:p>
    <w:p w14:paraId="3F5C6439">
      <w:pPr>
        <w:spacing w:before="128" w:line="223" w:lineRule="auto"/>
        <w:rPr>
          <w:color w:val="auto"/>
          <w:highlight w:val="none"/>
        </w:rPr>
      </w:pPr>
    </w:p>
    <w:p w14:paraId="4703318C">
      <w:pPr>
        <w:spacing w:before="128" w:line="223" w:lineRule="auto"/>
        <w:rPr>
          <w:color w:val="auto"/>
          <w:highlight w:val="none"/>
        </w:rPr>
      </w:pPr>
    </w:p>
    <w:p w14:paraId="5D6B41D9">
      <w:pPr>
        <w:spacing w:before="128" w:line="223" w:lineRule="auto"/>
        <w:rPr>
          <w:color w:val="auto"/>
          <w:highlight w:val="none"/>
        </w:rPr>
      </w:pPr>
    </w:p>
    <w:p w14:paraId="031233E6">
      <w:pPr>
        <w:spacing w:before="128" w:line="223" w:lineRule="auto"/>
        <w:rPr>
          <w:color w:val="auto"/>
          <w:highlight w:val="none"/>
        </w:rPr>
      </w:pPr>
    </w:p>
    <w:p w14:paraId="59FCA0E9">
      <w:pPr>
        <w:rPr>
          <w:color w:val="auto"/>
          <w:highlight w:val="none"/>
        </w:rPr>
      </w:pPr>
      <w:r>
        <w:rPr>
          <w:color w:val="auto"/>
          <w:highlight w:val="none"/>
        </w:rPr>
        <w:br w:type="page"/>
      </w:r>
    </w:p>
    <w:p w14:paraId="0D2687C1">
      <w:pPr>
        <w:spacing w:before="128" w:line="223" w:lineRule="auto"/>
        <w:rPr>
          <w:rFonts w:hint="eastAsia" w:eastAsia="宋体"/>
          <w:b/>
          <w:bCs/>
          <w:color w:val="auto"/>
          <w:sz w:val="24"/>
          <w:szCs w:val="24"/>
          <w:highlight w:val="none"/>
          <w:lang w:val="en-US" w:eastAsia="zh-CN"/>
        </w:rPr>
      </w:pPr>
      <w:r>
        <w:rPr>
          <w:rFonts w:hint="eastAsia" w:eastAsia="宋体"/>
          <w:b/>
          <w:bCs/>
          <w:color w:val="auto"/>
          <w:sz w:val="24"/>
          <w:szCs w:val="24"/>
          <w:highlight w:val="none"/>
          <w:lang w:val="en-US" w:eastAsia="zh-CN"/>
        </w:rPr>
        <w:t>附表2：</w:t>
      </w:r>
    </w:p>
    <w:p w14:paraId="129DFD2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楷体_GB2312" w:hAnsi="楷体_GB2312" w:eastAsia="楷体_GB2312" w:cs="楷体_GB2312"/>
          <w:b/>
          <w:color w:val="auto"/>
          <w:sz w:val="36"/>
          <w:szCs w:val="36"/>
          <w:highlight w:val="none"/>
          <w:lang w:val="en-US" w:eastAsia="zh-CN"/>
        </w:rPr>
      </w:pPr>
    </w:p>
    <w:p w14:paraId="08AFED2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楷体_GB2312" w:hAnsi="楷体_GB2312" w:eastAsia="楷体_GB2312" w:cs="楷体_GB2312"/>
          <w:b/>
          <w:color w:val="auto"/>
          <w:sz w:val="36"/>
          <w:szCs w:val="36"/>
          <w:highlight w:val="none"/>
          <w:lang w:val="en-US" w:eastAsia="zh-CN"/>
        </w:rPr>
      </w:pPr>
    </w:p>
    <w:p w14:paraId="0328F5C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楷体_GB2312" w:hAnsi="楷体_GB2312" w:eastAsia="楷体_GB2312" w:cs="楷体_GB2312"/>
          <w:b/>
          <w:color w:val="000000"/>
          <w:sz w:val="36"/>
          <w:szCs w:val="36"/>
          <w:lang w:val="en-US" w:eastAsia="zh-CN"/>
        </w:rPr>
      </w:pPr>
      <w:r>
        <w:rPr>
          <w:rFonts w:hint="eastAsia" w:ascii="楷体_GB2312" w:hAnsi="楷体_GB2312" w:eastAsia="楷体_GB2312" w:cs="楷体_GB2312"/>
          <w:b/>
          <w:color w:val="000000"/>
          <w:sz w:val="36"/>
          <w:szCs w:val="36"/>
          <w:lang w:val="en-US" w:eastAsia="zh-CN"/>
        </w:rPr>
        <w:t>路面工程公司零星工程</w:t>
      </w:r>
    </w:p>
    <w:p w14:paraId="273AE7B1">
      <w:pPr>
        <w:jc w:val="center"/>
        <w:rPr>
          <w:rFonts w:hint="eastAsia" w:eastAsia="宋体"/>
          <w:color w:val="auto"/>
          <w:highlight w:val="none"/>
          <w:lang w:val="en-US" w:eastAsia="zh-CN"/>
        </w:rPr>
      </w:pPr>
      <w:r>
        <w:rPr>
          <w:rFonts w:hint="eastAsia" w:ascii="楷体_GB2312" w:hAnsi="楷体_GB2312" w:eastAsia="楷体_GB2312" w:cs="楷体_GB2312"/>
          <w:b/>
          <w:color w:val="000000"/>
          <w:sz w:val="36"/>
          <w:szCs w:val="36"/>
          <w:lang w:val="en-US" w:eastAsia="zh-CN"/>
        </w:rPr>
        <w:t>丙烷液化石油气采购</w:t>
      </w:r>
      <w:r>
        <w:rPr>
          <w:rFonts w:hint="eastAsia" w:ascii="楷体_GB2312" w:hAnsi="楷体_GB2312" w:eastAsia="楷体_GB2312" w:cs="楷体_GB2312"/>
          <w:b/>
          <w:color w:val="auto"/>
          <w:sz w:val="36"/>
          <w:szCs w:val="36"/>
          <w:highlight w:val="none"/>
          <w:lang w:val="en-US" w:eastAsia="zh-CN"/>
        </w:rPr>
        <w:t>项目竞谈报价（二轮）</w:t>
      </w:r>
    </w:p>
    <w:p w14:paraId="67422782">
      <w:pPr>
        <w:keepNext w:val="0"/>
        <w:keepLines w:val="0"/>
        <w:pageBreakBefore w:val="0"/>
        <w:numPr>
          <w:ilvl w:val="0"/>
          <w:numId w:val="0"/>
        </w:numPr>
        <w:kinsoku/>
        <w:wordWrap/>
        <w:overflowPunct/>
        <w:topLinePunct w:val="0"/>
        <w:bidi w:val="0"/>
        <w:snapToGrid/>
        <w:spacing w:line="470" w:lineRule="exact"/>
        <w:jc w:val="right"/>
        <w:rPr>
          <w:rFonts w:hint="eastAsia" w:asciiTheme="minorEastAsia" w:hAnsiTheme="minorEastAsia" w:eastAsiaTheme="minorEastAsia" w:cstheme="minorEastAsia"/>
          <w:b/>
          <w:color w:val="auto"/>
          <w:kern w:val="0"/>
          <w:sz w:val="28"/>
          <w:szCs w:val="28"/>
          <w:highlight w:val="none"/>
          <w:lang w:val="en-US" w:eastAsia="zh-CN" w:bidi="ar-SA"/>
        </w:rPr>
      </w:pPr>
      <w:r>
        <w:rPr>
          <w:rFonts w:hint="eastAsia" w:ascii="宋体" w:eastAsia="宋体" w:cs="宋体"/>
          <w:color w:val="auto"/>
          <w:kern w:val="0"/>
          <w:sz w:val="24"/>
          <w:szCs w:val="24"/>
          <w:highlight w:val="none"/>
        </w:rPr>
        <w:t>货币单位:人民币（元）</w:t>
      </w:r>
    </w:p>
    <w:tbl>
      <w:tblPr>
        <w:tblStyle w:val="8"/>
        <w:tblpPr w:leftFromText="180" w:rightFromText="180" w:vertAnchor="text" w:horzAnchor="page" w:tblpX="1330" w:tblpY="110"/>
        <w:tblOverlap w:val="never"/>
        <w:tblW w:w="9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83"/>
        <w:gridCol w:w="2169"/>
        <w:gridCol w:w="736"/>
        <w:gridCol w:w="1183"/>
        <w:gridCol w:w="2087"/>
        <w:gridCol w:w="2131"/>
      </w:tblGrid>
      <w:tr w14:paraId="31E0C2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3"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F2136">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序号</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5850E">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细目名称</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4C34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单位</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EEE10">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数量</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F71DF">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不含税单价</w:t>
            </w:r>
          </w:p>
          <w:p w14:paraId="6232886C">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（元/吨）</w:t>
            </w:r>
          </w:p>
        </w:tc>
        <w:tc>
          <w:tcPr>
            <w:tcW w:w="21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0019B">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不含税合计（元）</w:t>
            </w:r>
          </w:p>
        </w:tc>
      </w:tr>
      <w:tr w14:paraId="733B4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1" w:hRule="atLeast"/>
        </w:trPr>
        <w:tc>
          <w:tcPr>
            <w:tcW w:w="7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73A2B">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w:t>
            </w:r>
          </w:p>
        </w:tc>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02A19">
            <w:pPr>
              <w:keepNext w:val="0"/>
              <w:keepLines w:val="0"/>
              <w:widowControl/>
              <w:suppressLineNumbers w:val="0"/>
              <w:jc w:val="center"/>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丙烷液化石油气</w:t>
            </w:r>
          </w:p>
        </w:tc>
        <w:tc>
          <w:tcPr>
            <w:tcW w:w="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3FBDD">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吨</w:t>
            </w:r>
          </w:p>
        </w:tc>
        <w:tc>
          <w:tcPr>
            <w:tcW w:w="11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499DA">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120.00 </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C9B73">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2131" w:type="dxa"/>
            <w:tcBorders>
              <w:top w:val="single" w:color="000000" w:sz="4" w:space="0"/>
              <w:left w:val="single" w:color="000000" w:sz="4" w:space="0"/>
              <w:bottom w:val="single" w:color="auto" w:sz="4" w:space="0"/>
              <w:right w:val="single" w:color="000000" w:sz="4" w:space="0"/>
            </w:tcBorders>
            <w:shd w:val="clear" w:color="auto" w:fill="auto"/>
            <w:vAlign w:val="center"/>
          </w:tcPr>
          <w:p w14:paraId="38BBDDB4">
            <w:pPr>
              <w:keepNext w:val="0"/>
              <w:keepLines w:val="0"/>
              <w:widowControl/>
              <w:suppressLineNumbers w:val="0"/>
              <w:jc w:val="center"/>
              <w:textAlignment w:val="center"/>
              <w:rPr>
                <w:rFonts w:hint="eastAsia" w:ascii="宋体" w:hAnsi="宋体" w:eastAsia="宋体" w:cs="宋体"/>
                <w:i w:val="0"/>
                <w:iCs w:val="0"/>
                <w:color w:val="000000"/>
                <w:kern w:val="0"/>
                <w:sz w:val="24"/>
                <w:szCs w:val="24"/>
                <w:highlight w:val="none"/>
                <w:u w:val="none"/>
                <w:lang w:val="en-US" w:eastAsia="zh-CN" w:bidi="ar"/>
              </w:rPr>
            </w:pPr>
          </w:p>
        </w:tc>
      </w:tr>
      <w:tr w14:paraId="67777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9" w:hRule="atLeast"/>
        </w:trPr>
        <w:tc>
          <w:tcPr>
            <w:tcW w:w="908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8F648D8">
            <w:pPr>
              <w:keepNext w:val="0"/>
              <w:keepLines w:val="0"/>
              <w:widowControl/>
              <w:suppressLineNumbers w:val="0"/>
              <w:ind w:firstLine="1200" w:firstLineChars="500"/>
              <w:jc w:val="left"/>
              <w:textAlignment w:val="center"/>
              <w:rPr>
                <w:rFonts w:hint="default"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 xml:space="preserve">不含税合计： </w:t>
            </w:r>
            <w:r>
              <w:rPr>
                <w:rFonts w:hint="eastAsia" w:ascii="宋体" w:hAnsi="宋体" w:eastAsia="宋体" w:cs="宋体"/>
                <w:i w:val="0"/>
                <w:iCs w:val="0"/>
                <w:color w:val="000000"/>
                <w:kern w:val="0"/>
                <w:sz w:val="24"/>
                <w:szCs w:val="24"/>
                <w:highlight w:val="none"/>
                <w:u w:val="single"/>
                <w:lang w:val="en-US" w:eastAsia="zh-CN" w:bidi="ar"/>
              </w:rPr>
              <w:t xml:space="preserve">           （元）</w:t>
            </w:r>
            <w:r>
              <w:rPr>
                <w:rFonts w:hint="eastAsia" w:ascii="宋体" w:hAnsi="宋体" w:eastAsia="宋体" w:cs="宋体"/>
                <w:i w:val="0"/>
                <w:iCs w:val="0"/>
                <w:color w:val="000000"/>
                <w:kern w:val="0"/>
                <w:sz w:val="24"/>
                <w:szCs w:val="24"/>
                <w:highlight w:val="none"/>
                <w:u w:val="none"/>
                <w:lang w:val="en-US" w:eastAsia="zh-CN" w:bidi="ar"/>
              </w:rPr>
              <w:t xml:space="preserve">  大写：</w:t>
            </w:r>
            <w:r>
              <w:rPr>
                <w:rFonts w:hint="eastAsia" w:ascii="宋体" w:hAnsi="宋体" w:eastAsia="宋体" w:cs="宋体"/>
                <w:i w:val="0"/>
                <w:iCs w:val="0"/>
                <w:color w:val="000000"/>
                <w:kern w:val="0"/>
                <w:sz w:val="24"/>
                <w:szCs w:val="24"/>
                <w:highlight w:val="none"/>
                <w:u w:val="single"/>
                <w:lang w:val="en-US" w:eastAsia="zh-CN" w:bidi="ar"/>
              </w:rPr>
              <w:t xml:space="preserve">              </w:t>
            </w:r>
          </w:p>
        </w:tc>
      </w:tr>
      <w:tr w14:paraId="4D982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3" w:hRule="atLeast"/>
        </w:trPr>
        <w:tc>
          <w:tcPr>
            <w:tcW w:w="908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B8D2529">
            <w:pPr>
              <w:autoSpaceDE w:val="0"/>
              <w:autoSpaceDN w:val="0"/>
              <w:spacing w:line="460" w:lineRule="exact"/>
              <w:ind w:firstLine="560"/>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注：单价为不含税单价，税率根据实际税率变化。包含材料、运费、存储、装卸、人员等直到泵入热再生设备燃料罐的一切费用。</w:t>
            </w:r>
          </w:p>
        </w:tc>
      </w:tr>
    </w:tbl>
    <w:p w14:paraId="7783BA0A">
      <w:pPr>
        <w:spacing w:line="620" w:lineRule="exact"/>
        <w:rPr>
          <w:rFonts w:hint="eastAsia" w:ascii="楷体_GB2312" w:hAnsi="楷体_GB2312" w:eastAsia="楷体_GB2312" w:cs="楷体_GB2312"/>
          <w:b/>
          <w:bCs/>
          <w:color w:val="auto"/>
          <w:sz w:val="28"/>
          <w:szCs w:val="28"/>
          <w:highlight w:val="none"/>
          <w:lang w:eastAsia="zh-CN"/>
        </w:rPr>
      </w:pPr>
    </w:p>
    <w:p w14:paraId="70DBFD43">
      <w:pPr>
        <w:spacing w:line="480" w:lineRule="exact"/>
        <w:jc w:val="right"/>
        <w:rPr>
          <w:rFonts w:hint="default" w:ascii="楷体_GB2312" w:hAnsi="楷体_GB2312" w:eastAsia="楷体_GB2312" w:cs="楷体_GB2312"/>
          <w:bCs/>
          <w:color w:val="auto"/>
          <w:sz w:val="28"/>
          <w:szCs w:val="28"/>
          <w:highlight w:val="none"/>
          <w:lang w:val="en-US" w:eastAsia="zh-CN"/>
        </w:rPr>
      </w:pPr>
      <w:r>
        <w:rPr>
          <w:rFonts w:hint="eastAsia" w:ascii="楷体_GB2312" w:hAnsi="楷体_GB2312" w:eastAsia="楷体_GB2312" w:cs="楷体_GB2312"/>
          <w:bCs/>
          <w:color w:val="auto"/>
          <w:sz w:val="28"/>
          <w:szCs w:val="28"/>
          <w:highlight w:val="none"/>
        </w:rPr>
        <w:t xml:space="preserve">              </w:t>
      </w:r>
      <w:r>
        <w:rPr>
          <w:rFonts w:hint="eastAsia" w:ascii="楷体_GB2312" w:hAnsi="楷体_GB2312" w:eastAsia="楷体_GB2312" w:cs="楷体_GB2312"/>
          <w:bCs/>
          <w:color w:val="auto"/>
          <w:sz w:val="28"/>
          <w:szCs w:val="28"/>
          <w:highlight w:val="none"/>
          <w:lang w:val="en-US" w:eastAsia="zh-CN"/>
        </w:rPr>
        <w:t>德达交通建设发展集团有限公司</w:t>
      </w:r>
    </w:p>
    <w:p w14:paraId="16DCC66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楷体_GB2312" w:hAnsi="楷体_GB2312" w:eastAsia="楷体_GB2312" w:cs="楷体_GB2312"/>
          <w:bCs/>
          <w:color w:val="auto"/>
          <w:sz w:val="28"/>
          <w:szCs w:val="28"/>
          <w:highlight w:val="none"/>
        </w:rPr>
      </w:pPr>
      <w:r>
        <w:rPr>
          <w:rFonts w:hint="eastAsia" w:ascii="楷体_GB2312" w:hAnsi="楷体_GB2312" w:eastAsia="楷体_GB2312" w:cs="楷体_GB2312"/>
          <w:bCs/>
          <w:color w:val="auto"/>
          <w:sz w:val="28"/>
          <w:szCs w:val="28"/>
          <w:highlight w:val="none"/>
          <w:lang w:val="en-US" w:eastAsia="zh-CN"/>
        </w:rPr>
        <w:t xml:space="preserve">                                 2025</w:t>
      </w:r>
      <w:r>
        <w:rPr>
          <w:rFonts w:hint="eastAsia" w:ascii="楷体_GB2312" w:hAnsi="楷体_GB2312" w:eastAsia="楷体_GB2312" w:cs="楷体_GB2312"/>
          <w:bCs/>
          <w:color w:val="auto"/>
          <w:sz w:val="28"/>
          <w:szCs w:val="28"/>
          <w:highlight w:val="none"/>
        </w:rPr>
        <w:t>年</w:t>
      </w:r>
      <w:r>
        <w:rPr>
          <w:rFonts w:hint="eastAsia" w:ascii="楷体_GB2312" w:hAnsi="楷体_GB2312" w:eastAsia="楷体_GB2312" w:cs="楷体_GB2312"/>
          <w:bCs/>
          <w:color w:val="auto"/>
          <w:sz w:val="28"/>
          <w:szCs w:val="28"/>
          <w:highlight w:val="none"/>
          <w:lang w:val="en-US" w:eastAsia="zh-CN"/>
        </w:rPr>
        <w:t>4</w:t>
      </w:r>
      <w:r>
        <w:rPr>
          <w:rFonts w:hint="eastAsia" w:ascii="楷体_GB2312" w:hAnsi="楷体_GB2312" w:eastAsia="楷体_GB2312" w:cs="楷体_GB2312"/>
          <w:bCs/>
          <w:color w:val="auto"/>
          <w:sz w:val="28"/>
          <w:szCs w:val="28"/>
          <w:highlight w:val="none"/>
        </w:rPr>
        <w:t>月</w:t>
      </w:r>
      <w:r>
        <w:rPr>
          <w:rFonts w:hint="eastAsia" w:ascii="楷体_GB2312" w:hAnsi="楷体_GB2312" w:eastAsia="楷体_GB2312" w:cs="楷体_GB2312"/>
          <w:bCs/>
          <w:color w:val="auto"/>
          <w:sz w:val="28"/>
          <w:szCs w:val="28"/>
          <w:highlight w:val="none"/>
          <w:lang w:val="en-US" w:eastAsia="zh-CN"/>
        </w:rPr>
        <w:t>15</w:t>
      </w:r>
      <w:r>
        <w:rPr>
          <w:rFonts w:hint="eastAsia" w:ascii="楷体_GB2312" w:hAnsi="楷体_GB2312" w:eastAsia="楷体_GB2312" w:cs="楷体_GB2312"/>
          <w:bCs/>
          <w:color w:val="auto"/>
          <w:sz w:val="28"/>
          <w:szCs w:val="28"/>
          <w:highlight w:val="none"/>
        </w:rPr>
        <w:t>日</w:t>
      </w:r>
    </w:p>
    <w:p w14:paraId="607D2061">
      <w:pPr>
        <w:spacing w:before="128" w:line="223" w:lineRule="auto"/>
        <w:rPr>
          <w:color w:val="auto"/>
          <w:highlight w:val="none"/>
        </w:rPr>
      </w:pPr>
    </w:p>
    <w:sectPr>
      <w:pgSz w:w="11906" w:h="16838"/>
      <w:pgMar w:top="1440" w:right="1746" w:bottom="1440" w:left="1746"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A2C5AA"/>
    <w:multiLevelType w:val="singleLevel"/>
    <w:tmpl w:val="BFA2C5AA"/>
    <w:lvl w:ilvl="0" w:tentative="0">
      <w:start w:val="5"/>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4YjQ0ZDA3MjZhYTllMGE0MzAzYzJlMmFkZDg5ZTMifQ=="/>
  </w:docVars>
  <w:rsids>
    <w:rsidRoot w:val="00000000"/>
    <w:rsid w:val="00305CE7"/>
    <w:rsid w:val="018F4C90"/>
    <w:rsid w:val="01E943A0"/>
    <w:rsid w:val="01EA636A"/>
    <w:rsid w:val="0236335D"/>
    <w:rsid w:val="028D34A0"/>
    <w:rsid w:val="029A1B3E"/>
    <w:rsid w:val="03535B3A"/>
    <w:rsid w:val="03600692"/>
    <w:rsid w:val="038325D2"/>
    <w:rsid w:val="03CD1A9F"/>
    <w:rsid w:val="04A8683A"/>
    <w:rsid w:val="04EB042F"/>
    <w:rsid w:val="04EC075D"/>
    <w:rsid w:val="050E411D"/>
    <w:rsid w:val="05834B0B"/>
    <w:rsid w:val="05AA653C"/>
    <w:rsid w:val="05F532CC"/>
    <w:rsid w:val="063D157C"/>
    <w:rsid w:val="069074E0"/>
    <w:rsid w:val="06BA35C6"/>
    <w:rsid w:val="06C00ECA"/>
    <w:rsid w:val="06CC603E"/>
    <w:rsid w:val="0705758B"/>
    <w:rsid w:val="078E3460"/>
    <w:rsid w:val="07A7025C"/>
    <w:rsid w:val="07C75183"/>
    <w:rsid w:val="07F43A9E"/>
    <w:rsid w:val="082F4AD6"/>
    <w:rsid w:val="08365E65"/>
    <w:rsid w:val="084C5688"/>
    <w:rsid w:val="08AE00F1"/>
    <w:rsid w:val="0968374C"/>
    <w:rsid w:val="09B259BF"/>
    <w:rsid w:val="09D122E9"/>
    <w:rsid w:val="09DA375A"/>
    <w:rsid w:val="09DD2A0F"/>
    <w:rsid w:val="0A00672A"/>
    <w:rsid w:val="0A6C2012"/>
    <w:rsid w:val="0ACB31DC"/>
    <w:rsid w:val="0AD33E3F"/>
    <w:rsid w:val="0AD96F7B"/>
    <w:rsid w:val="0B04049C"/>
    <w:rsid w:val="0B1E1A80"/>
    <w:rsid w:val="0B50723E"/>
    <w:rsid w:val="0B512FB6"/>
    <w:rsid w:val="0B6E1DBA"/>
    <w:rsid w:val="0BD460C1"/>
    <w:rsid w:val="0BDE0CED"/>
    <w:rsid w:val="0BF27C65"/>
    <w:rsid w:val="0C4843B9"/>
    <w:rsid w:val="0E10224B"/>
    <w:rsid w:val="0E1D302B"/>
    <w:rsid w:val="0E4C5336"/>
    <w:rsid w:val="0E5858AB"/>
    <w:rsid w:val="0E9D4E90"/>
    <w:rsid w:val="0EA96E94"/>
    <w:rsid w:val="0F3B0205"/>
    <w:rsid w:val="0F76123D"/>
    <w:rsid w:val="0FB12275"/>
    <w:rsid w:val="1057170E"/>
    <w:rsid w:val="11A16A45"/>
    <w:rsid w:val="11B31475"/>
    <w:rsid w:val="11EC3A38"/>
    <w:rsid w:val="12295ADC"/>
    <w:rsid w:val="12771554"/>
    <w:rsid w:val="12EA441C"/>
    <w:rsid w:val="13053A34"/>
    <w:rsid w:val="133631BD"/>
    <w:rsid w:val="13824654"/>
    <w:rsid w:val="14131955"/>
    <w:rsid w:val="14151024"/>
    <w:rsid w:val="14B7657F"/>
    <w:rsid w:val="14E86739"/>
    <w:rsid w:val="14F83B2E"/>
    <w:rsid w:val="155C2C83"/>
    <w:rsid w:val="15B036FB"/>
    <w:rsid w:val="15F64E85"/>
    <w:rsid w:val="16113A6D"/>
    <w:rsid w:val="16B26FFE"/>
    <w:rsid w:val="16C84A74"/>
    <w:rsid w:val="16D51F60"/>
    <w:rsid w:val="172064DE"/>
    <w:rsid w:val="17F13B56"/>
    <w:rsid w:val="184243B2"/>
    <w:rsid w:val="18F94A8C"/>
    <w:rsid w:val="19143FA0"/>
    <w:rsid w:val="193C136B"/>
    <w:rsid w:val="19A075E2"/>
    <w:rsid w:val="19BB266E"/>
    <w:rsid w:val="19D06618"/>
    <w:rsid w:val="1A53412E"/>
    <w:rsid w:val="1A5403CD"/>
    <w:rsid w:val="1AB33C33"/>
    <w:rsid w:val="1B3426D8"/>
    <w:rsid w:val="1B8D3B96"/>
    <w:rsid w:val="1B9B090D"/>
    <w:rsid w:val="1C314E69"/>
    <w:rsid w:val="1D293D92"/>
    <w:rsid w:val="1DBB3CD2"/>
    <w:rsid w:val="1DE32193"/>
    <w:rsid w:val="1DE33F41"/>
    <w:rsid w:val="1E1B3CF5"/>
    <w:rsid w:val="1E6D112D"/>
    <w:rsid w:val="1EDF0BAD"/>
    <w:rsid w:val="1F3A4035"/>
    <w:rsid w:val="1F7E6617"/>
    <w:rsid w:val="1FB0621F"/>
    <w:rsid w:val="1FE16BA6"/>
    <w:rsid w:val="1FFA090A"/>
    <w:rsid w:val="200E0542"/>
    <w:rsid w:val="20123639"/>
    <w:rsid w:val="20541126"/>
    <w:rsid w:val="20C718F8"/>
    <w:rsid w:val="210E7527"/>
    <w:rsid w:val="211B39F2"/>
    <w:rsid w:val="217211A4"/>
    <w:rsid w:val="21C5554D"/>
    <w:rsid w:val="228D7391"/>
    <w:rsid w:val="233139A1"/>
    <w:rsid w:val="23492A98"/>
    <w:rsid w:val="23757D31"/>
    <w:rsid w:val="2446522A"/>
    <w:rsid w:val="245E07C6"/>
    <w:rsid w:val="2472773E"/>
    <w:rsid w:val="24961D0D"/>
    <w:rsid w:val="25201F1F"/>
    <w:rsid w:val="253941A1"/>
    <w:rsid w:val="255B4D05"/>
    <w:rsid w:val="258C4EBE"/>
    <w:rsid w:val="26065FE5"/>
    <w:rsid w:val="26881571"/>
    <w:rsid w:val="26F94014"/>
    <w:rsid w:val="27204CFD"/>
    <w:rsid w:val="28AD3ACA"/>
    <w:rsid w:val="28FC05AD"/>
    <w:rsid w:val="29003BF9"/>
    <w:rsid w:val="29626662"/>
    <w:rsid w:val="2A720EF9"/>
    <w:rsid w:val="2A992557"/>
    <w:rsid w:val="2AED3DAA"/>
    <w:rsid w:val="2B481888"/>
    <w:rsid w:val="2B990335"/>
    <w:rsid w:val="2BCA4992"/>
    <w:rsid w:val="2C4B7881"/>
    <w:rsid w:val="2C8132A3"/>
    <w:rsid w:val="2CBC42DB"/>
    <w:rsid w:val="2CF63BFC"/>
    <w:rsid w:val="2CFC5020"/>
    <w:rsid w:val="2D0E31F8"/>
    <w:rsid w:val="2D5A4AA8"/>
    <w:rsid w:val="2DD90EBD"/>
    <w:rsid w:val="2E5557C6"/>
    <w:rsid w:val="2F671E9A"/>
    <w:rsid w:val="2F8A6913"/>
    <w:rsid w:val="304E1FC2"/>
    <w:rsid w:val="307153DD"/>
    <w:rsid w:val="30F46739"/>
    <w:rsid w:val="312B5ED3"/>
    <w:rsid w:val="32C435E9"/>
    <w:rsid w:val="32D86851"/>
    <w:rsid w:val="33F26834"/>
    <w:rsid w:val="34BF2BBB"/>
    <w:rsid w:val="34C952BD"/>
    <w:rsid w:val="36341386"/>
    <w:rsid w:val="364D069A"/>
    <w:rsid w:val="36527A5E"/>
    <w:rsid w:val="36C54B5C"/>
    <w:rsid w:val="36D14E27"/>
    <w:rsid w:val="37432BA4"/>
    <w:rsid w:val="377A101B"/>
    <w:rsid w:val="37E87E3B"/>
    <w:rsid w:val="37FC6B7F"/>
    <w:rsid w:val="38717C0E"/>
    <w:rsid w:val="38871C41"/>
    <w:rsid w:val="38AA5930"/>
    <w:rsid w:val="39534219"/>
    <w:rsid w:val="39B07FE2"/>
    <w:rsid w:val="39DC5FBD"/>
    <w:rsid w:val="3A0936D4"/>
    <w:rsid w:val="3A79317C"/>
    <w:rsid w:val="3AC32CD9"/>
    <w:rsid w:val="3AF45588"/>
    <w:rsid w:val="3B135A0E"/>
    <w:rsid w:val="3B491430"/>
    <w:rsid w:val="3B6C15C2"/>
    <w:rsid w:val="3BB675BA"/>
    <w:rsid w:val="3C463BC1"/>
    <w:rsid w:val="3C862210"/>
    <w:rsid w:val="3C8F7316"/>
    <w:rsid w:val="3CFD4632"/>
    <w:rsid w:val="3E0203F7"/>
    <w:rsid w:val="3E3B6A3B"/>
    <w:rsid w:val="3E8D0FBC"/>
    <w:rsid w:val="3ED70158"/>
    <w:rsid w:val="3EEF22EE"/>
    <w:rsid w:val="3F2325F1"/>
    <w:rsid w:val="3FAE21A9"/>
    <w:rsid w:val="3FB42113"/>
    <w:rsid w:val="400B75FC"/>
    <w:rsid w:val="40F55BB6"/>
    <w:rsid w:val="40F63E08"/>
    <w:rsid w:val="41766110"/>
    <w:rsid w:val="41B65345"/>
    <w:rsid w:val="42221190"/>
    <w:rsid w:val="42B607A6"/>
    <w:rsid w:val="42FF4ACA"/>
    <w:rsid w:val="4392593E"/>
    <w:rsid w:val="441733E4"/>
    <w:rsid w:val="44BE2E8F"/>
    <w:rsid w:val="44F96720"/>
    <w:rsid w:val="45463E94"/>
    <w:rsid w:val="455A248C"/>
    <w:rsid w:val="4578197C"/>
    <w:rsid w:val="45C53DA9"/>
    <w:rsid w:val="45DE2238"/>
    <w:rsid w:val="461F174E"/>
    <w:rsid w:val="464A2ED4"/>
    <w:rsid w:val="47A8766B"/>
    <w:rsid w:val="47EA7A68"/>
    <w:rsid w:val="47F6202B"/>
    <w:rsid w:val="48420A18"/>
    <w:rsid w:val="48B431A9"/>
    <w:rsid w:val="49221512"/>
    <w:rsid w:val="49634005"/>
    <w:rsid w:val="4A062BE2"/>
    <w:rsid w:val="4A9621B8"/>
    <w:rsid w:val="4AB32D6A"/>
    <w:rsid w:val="4AF12DCE"/>
    <w:rsid w:val="4B661B8A"/>
    <w:rsid w:val="4BB45814"/>
    <w:rsid w:val="4C2D08FA"/>
    <w:rsid w:val="4C9B3AB5"/>
    <w:rsid w:val="4CD82614"/>
    <w:rsid w:val="4D080A48"/>
    <w:rsid w:val="4D4E6D7A"/>
    <w:rsid w:val="4DA93FB0"/>
    <w:rsid w:val="4DEE5E67"/>
    <w:rsid w:val="4E196024"/>
    <w:rsid w:val="4E30022D"/>
    <w:rsid w:val="4EC15329"/>
    <w:rsid w:val="4EE04760"/>
    <w:rsid w:val="4EFB6A76"/>
    <w:rsid w:val="4F6F4D85"/>
    <w:rsid w:val="4F8A34D2"/>
    <w:rsid w:val="4FB54E8E"/>
    <w:rsid w:val="502A0F24"/>
    <w:rsid w:val="511E6BD5"/>
    <w:rsid w:val="51316904"/>
    <w:rsid w:val="51AE428B"/>
    <w:rsid w:val="51EC0F1C"/>
    <w:rsid w:val="51EE28D9"/>
    <w:rsid w:val="5306231C"/>
    <w:rsid w:val="532366DF"/>
    <w:rsid w:val="537E08F2"/>
    <w:rsid w:val="539764F4"/>
    <w:rsid w:val="53AE40CE"/>
    <w:rsid w:val="5418076C"/>
    <w:rsid w:val="544D38E7"/>
    <w:rsid w:val="548E3F00"/>
    <w:rsid w:val="54F26BBE"/>
    <w:rsid w:val="551B39E5"/>
    <w:rsid w:val="552D3719"/>
    <w:rsid w:val="557A2957"/>
    <w:rsid w:val="557A4CA3"/>
    <w:rsid w:val="55A57753"/>
    <w:rsid w:val="55C71477"/>
    <w:rsid w:val="561B17C3"/>
    <w:rsid w:val="563F0FE1"/>
    <w:rsid w:val="565D1DDC"/>
    <w:rsid w:val="56B04601"/>
    <w:rsid w:val="56C836F9"/>
    <w:rsid w:val="56F95FA8"/>
    <w:rsid w:val="574B7E86"/>
    <w:rsid w:val="57C41504"/>
    <w:rsid w:val="58E6430A"/>
    <w:rsid w:val="58F05189"/>
    <w:rsid w:val="59DE1485"/>
    <w:rsid w:val="59EA1BD8"/>
    <w:rsid w:val="59F12F67"/>
    <w:rsid w:val="5AC72C37"/>
    <w:rsid w:val="5B435A44"/>
    <w:rsid w:val="5B4C3F06"/>
    <w:rsid w:val="5C3929A3"/>
    <w:rsid w:val="5C5617A7"/>
    <w:rsid w:val="5C657C3C"/>
    <w:rsid w:val="5C693288"/>
    <w:rsid w:val="5C9439C0"/>
    <w:rsid w:val="5D07562D"/>
    <w:rsid w:val="5D9F2CDA"/>
    <w:rsid w:val="5DA622BA"/>
    <w:rsid w:val="5DBE5856"/>
    <w:rsid w:val="5DC10EA2"/>
    <w:rsid w:val="5E54173C"/>
    <w:rsid w:val="5E9345EC"/>
    <w:rsid w:val="5F223BC2"/>
    <w:rsid w:val="5FB962D5"/>
    <w:rsid w:val="606542BD"/>
    <w:rsid w:val="60870181"/>
    <w:rsid w:val="6089214B"/>
    <w:rsid w:val="60D4713E"/>
    <w:rsid w:val="60D809DC"/>
    <w:rsid w:val="6149265B"/>
    <w:rsid w:val="62AF6EE2"/>
    <w:rsid w:val="62D74A55"/>
    <w:rsid w:val="637251F2"/>
    <w:rsid w:val="6375774F"/>
    <w:rsid w:val="639D5F0D"/>
    <w:rsid w:val="63B82D47"/>
    <w:rsid w:val="63D538F9"/>
    <w:rsid w:val="646F3406"/>
    <w:rsid w:val="649A0639"/>
    <w:rsid w:val="65444892"/>
    <w:rsid w:val="657038D9"/>
    <w:rsid w:val="6605645B"/>
    <w:rsid w:val="661A639D"/>
    <w:rsid w:val="661E50E3"/>
    <w:rsid w:val="668138C4"/>
    <w:rsid w:val="66AF0431"/>
    <w:rsid w:val="66B477F6"/>
    <w:rsid w:val="66B617C0"/>
    <w:rsid w:val="66C11F13"/>
    <w:rsid w:val="66D659BE"/>
    <w:rsid w:val="67195A92"/>
    <w:rsid w:val="672E43C0"/>
    <w:rsid w:val="674A1F08"/>
    <w:rsid w:val="67E76E83"/>
    <w:rsid w:val="684F3C7A"/>
    <w:rsid w:val="68541290"/>
    <w:rsid w:val="68815DFE"/>
    <w:rsid w:val="688651C2"/>
    <w:rsid w:val="68F428CC"/>
    <w:rsid w:val="69064C26"/>
    <w:rsid w:val="69A47FF6"/>
    <w:rsid w:val="69CA7330"/>
    <w:rsid w:val="69E2467A"/>
    <w:rsid w:val="69E77EE2"/>
    <w:rsid w:val="6A436A18"/>
    <w:rsid w:val="6A753740"/>
    <w:rsid w:val="6B150BE5"/>
    <w:rsid w:val="6B234F4A"/>
    <w:rsid w:val="6B513865"/>
    <w:rsid w:val="6B7B4D86"/>
    <w:rsid w:val="6C0503D3"/>
    <w:rsid w:val="6C2B2308"/>
    <w:rsid w:val="6C375151"/>
    <w:rsid w:val="6C8934D3"/>
    <w:rsid w:val="6CAE6A95"/>
    <w:rsid w:val="6CB467A2"/>
    <w:rsid w:val="6CC12C6C"/>
    <w:rsid w:val="6CF46B9E"/>
    <w:rsid w:val="6D4A0EB4"/>
    <w:rsid w:val="6DD62748"/>
    <w:rsid w:val="6E702020"/>
    <w:rsid w:val="6EA2262A"/>
    <w:rsid w:val="6EA25E50"/>
    <w:rsid w:val="6EA6211A"/>
    <w:rsid w:val="6EA63EC8"/>
    <w:rsid w:val="6EED1AF7"/>
    <w:rsid w:val="6F1352D6"/>
    <w:rsid w:val="6F9D176F"/>
    <w:rsid w:val="6FFF1452"/>
    <w:rsid w:val="703D6A50"/>
    <w:rsid w:val="7047792D"/>
    <w:rsid w:val="70860455"/>
    <w:rsid w:val="7095216F"/>
    <w:rsid w:val="709553C3"/>
    <w:rsid w:val="70981F36"/>
    <w:rsid w:val="70CB230C"/>
    <w:rsid w:val="71A072F4"/>
    <w:rsid w:val="71E511AB"/>
    <w:rsid w:val="73120A7C"/>
    <w:rsid w:val="73726A6F"/>
    <w:rsid w:val="73AF381F"/>
    <w:rsid w:val="73D56FFD"/>
    <w:rsid w:val="74640AAD"/>
    <w:rsid w:val="74BF52F7"/>
    <w:rsid w:val="74C90910"/>
    <w:rsid w:val="74FF2CD7"/>
    <w:rsid w:val="75243D99"/>
    <w:rsid w:val="755521A4"/>
    <w:rsid w:val="755F3023"/>
    <w:rsid w:val="7577036C"/>
    <w:rsid w:val="75BC62B9"/>
    <w:rsid w:val="75E0188B"/>
    <w:rsid w:val="75ED6880"/>
    <w:rsid w:val="76371E5E"/>
    <w:rsid w:val="76D87530"/>
    <w:rsid w:val="771747F3"/>
    <w:rsid w:val="775C1F10"/>
    <w:rsid w:val="7798554B"/>
    <w:rsid w:val="77EF7758"/>
    <w:rsid w:val="78247E65"/>
    <w:rsid w:val="783B47F8"/>
    <w:rsid w:val="7840538D"/>
    <w:rsid w:val="78701BA4"/>
    <w:rsid w:val="78767001"/>
    <w:rsid w:val="78866997"/>
    <w:rsid w:val="78B673FD"/>
    <w:rsid w:val="78DD498A"/>
    <w:rsid w:val="79102D89"/>
    <w:rsid w:val="79E24222"/>
    <w:rsid w:val="7A146AD1"/>
    <w:rsid w:val="7A24483B"/>
    <w:rsid w:val="7B0C59FB"/>
    <w:rsid w:val="7B413C30"/>
    <w:rsid w:val="7BA3748A"/>
    <w:rsid w:val="7BE40725"/>
    <w:rsid w:val="7C0E03C2"/>
    <w:rsid w:val="7C136915"/>
    <w:rsid w:val="7C635AEE"/>
    <w:rsid w:val="7D30556A"/>
    <w:rsid w:val="7D5176F5"/>
    <w:rsid w:val="7D997C30"/>
    <w:rsid w:val="7DF3391E"/>
    <w:rsid w:val="7DFF35F5"/>
    <w:rsid w:val="7E486D4A"/>
    <w:rsid w:val="7F531330"/>
    <w:rsid w:val="7FDE274C"/>
    <w:rsid w:val="F5D7D3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next w:val="1"/>
    <w:qFormat/>
    <w:uiPriority w:val="0"/>
    <w:pPr>
      <w:spacing w:line="500" w:lineRule="exact"/>
      <w:ind w:left="832" w:leftChars="832" w:firstLine="196" w:firstLineChars="196"/>
    </w:pPr>
    <w:rPr>
      <w:rFonts w:ascii="Times New Roman" w:hAnsi="Times New Roman" w:eastAsia="宋体" w:cs="Times New Roman"/>
      <w:sz w:val="24"/>
    </w:rPr>
  </w:style>
  <w:style w:type="paragraph" w:styleId="4">
    <w:name w:val="footer"/>
    <w:basedOn w:val="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Normal (Web)"/>
    <w:basedOn w:val="1"/>
    <w:qFormat/>
    <w:uiPriority w:val="0"/>
    <w:pPr>
      <w:widowControl/>
      <w:spacing w:before="100" w:beforeAutospacing="1" w:after="100" w:afterAutospacing="1"/>
      <w:jc w:val="left"/>
    </w:pPr>
    <w:rPr>
      <w:rFonts w:ascii="宋体" w:hAnsi="宋体" w:eastAsia="宋体" w:cs="Times New Roman"/>
      <w:kern w:val="0"/>
      <w:sz w:val="24"/>
      <w:szCs w:val="24"/>
    </w:rPr>
  </w:style>
  <w:style w:type="paragraph" w:styleId="6">
    <w:name w:val="Body Text First Indent"/>
    <w:basedOn w:val="2"/>
    <w:qFormat/>
    <w:uiPriority w:val="0"/>
    <w:pPr>
      <w:ind w:firstLine="420" w:firstLineChars="100"/>
    </w:pPr>
  </w:style>
  <w:style w:type="paragraph" w:styleId="7">
    <w:name w:val="Body Text First Indent 2"/>
    <w:basedOn w:val="3"/>
    <w:next w:val="1"/>
    <w:unhideWhenUsed/>
    <w:qFormat/>
    <w:uiPriority w:val="0"/>
    <w:pPr>
      <w:ind w:firstLine="420"/>
    </w:pPr>
  </w:style>
  <w:style w:type="character" w:customStyle="1" w:styleId="10">
    <w:name w:val="font51"/>
    <w:basedOn w:val="9"/>
    <w:qFormat/>
    <w:uiPriority w:val="0"/>
    <w:rPr>
      <w:rFonts w:hint="eastAsia" w:ascii="宋体" w:hAnsi="宋体" w:eastAsia="宋体" w:cs="宋体"/>
      <w:b/>
      <w:bCs/>
      <w:color w:val="000000"/>
      <w:sz w:val="32"/>
      <w:szCs w:val="32"/>
      <w:u w:val="single"/>
    </w:rPr>
  </w:style>
  <w:style w:type="character" w:customStyle="1" w:styleId="11">
    <w:name w:val="font31"/>
    <w:basedOn w:val="9"/>
    <w:qFormat/>
    <w:uiPriority w:val="0"/>
    <w:rPr>
      <w:rFonts w:hint="eastAsia" w:ascii="宋体" w:hAnsi="宋体" w:eastAsia="宋体" w:cs="宋体"/>
      <w:b/>
      <w:bCs/>
      <w:color w:val="000000"/>
      <w:sz w:val="32"/>
      <w:szCs w:val="32"/>
      <w:u w:val="none"/>
    </w:rPr>
  </w:style>
  <w:style w:type="paragraph" w:customStyle="1" w:styleId="12">
    <w:name w:val="首行缩进"/>
    <w:basedOn w:val="1"/>
    <w:autoRedefine/>
    <w:qFormat/>
    <w:uiPriority w:val="0"/>
    <w:pPr>
      <w:spacing w:line="360" w:lineRule="auto"/>
      <w:ind w:firstLine="480" w:firstLineChars="200"/>
    </w:pPr>
    <w:rPr>
      <w:rFonts w:ascii="宋体" w:hAnsi="宋体" w:cs="宋体"/>
      <w:kern w:val="0"/>
      <w:sz w:val="24"/>
    </w:rPr>
  </w:style>
  <w:style w:type="paragraph" w:styleId="13">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EADF95"/>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2384</Words>
  <Characters>2559</Characters>
  <Lines>0</Lines>
  <Paragraphs>0</Paragraphs>
  <TotalTime>0</TotalTime>
  <ScaleCrop>false</ScaleCrop>
  <LinksUpToDate>false</LinksUpToDate>
  <CharactersWithSpaces>2768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2024-07-17T10:42:00Z</dcterms:created>
  <dc:creator>82161</dc:creator>
  <cp:lastModifiedBy>？？？？？</cp:lastModifiedBy>
  <cp:lastPrinted>2025-02-25T06:09:00Z</cp:lastPrinted>
  <dcterms:modified xsi:type="dcterms:W3CDTF">2025-04-15T03:04:03Z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17628FA665AD4D2094925CA677EBB202_13</vt:lpwstr>
  </property>
  <property fmtid="{D5CDD505-2E9C-101B-9397-08002B2CF9AE}" pid="4" name="KSOTemplateDocerSaveRecord">
    <vt:lpwstr>eyJoZGlkIjoiYmRkNzBlMGM0ODRkM2YwYTUzYTU2YjAwYWJjODZhZTgiLCJ1c2VySWQiOiI0MjQzODg5NjMifQ==</vt:lpwstr>
  </property>
</Properties>
</file>