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30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color w:val="auto"/>
          <w:sz w:val="36"/>
          <w:szCs w:val="36"/>
          <w:highlight w:val="none"/>
          <w:lang w:eastAsia="zh-CN"/>
        </w:rPr>
      </w:pPr>
      <w:r>
        <w:rPr>
          <w:rFonts w:hint="eastAsia" w:ascii="楷体_GB2312" w:hAnsi="楷体_GB2312" w:eastAsia="楷体_GB2312" w:cs="楷体_GB2312"/>
          <w:b/>
          <w:color w:val="auto"/>
          <w:sz w:val="36"/>
          <w:szCs w:val="36"/>
          <w:highlight w:val="none"/>
          <w:lang w:val="en-US" w:eastAsia="zh-CN"/>
        </w:rPr>
        <w:t>高青至武城高速公路商河至平原段工程</w:t>
      </w:r>
    </w:p>
    <w:p w14:paraId="7D2CE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bCs/>
          <w:color w:val="auto"/>
          <w:sz w:val="36"/>
          <w:szCs w:val="36"/>
          <w:highlight w:val="none"/>
          <w:lang w:val="en-US" w:eastAsia="zh-CN"/>
        </w:rPr>
        <w:t>隔离栅混凝土基础预制件采购项目</w:t>
      </w:r>
      <w:r>
        <w:rPr>
          <w:rFonts w:hint="eastAsia" w:ascii="楷体_GB2312" w:hAnsi="楷体_GB2312" w:eastAsia="楷体_GB2312" w:cs="楷体_GB2312"/>
          <w:b/>
          <w:color w:val="auto"/>
          <w:sz w:val="36"/>
          <w:szCs w:val="36"/>
          <w:highlight w:val="none"/>
          <w:lang w:val="en-US" w:eastAsia="zh-CN"/>
        </w:rPr>
        <w:t>谈判公告</w:t>
      </w:r>
    </w:p>
    <w:p w14:paraId="04130CD0">
      <w:pPr>
        <w:keepNext w:val="0"/>
        <w:keepLines w:val="0"/>
        <w:pageBreakBefore w:val="0"/>
        <w:widowControl w:val="0"/>
        <w:wordWrap/>
        <w:overflowPunct/>
        <w:topLinePunct w:val="0"/>
        <w:bidi w:val="0"/>
        <w:spacing w:before="74" w:line="360" w:lineRule="auto"/>
        <w:rPr>
          <w:rFonts w:ascii="楷体" w:hAnsi="楷体" w:eastAsia="楷体" w:cs="楷体"/>
          <w:color w:val="auto"/>
          <w:spacing w:val="-16"/>
          <w:sz w:val="29"/>
          <w:szCs w:val="29"/>
          <w:highlight w:val="none"/>
        </w:rPr>
      </w:pPr>
      <w:bookmarkStart w:id="1" w:name="_GoBack"/>
      <w:bookmarkEnd w:id="1"/>
    </w:p>
    <w:p w14:paraId="0CAFE345">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一、项目概况与谈判范围</w:t>
      </w:r>
    </w:p>
    <w:p w14:paraId="371932EC">
      <w:pPr>
        <w:keepNext w:val="0"/>
        <w:keepLines w:val="0"/>
        <w:pageBreakBefore w:val="0"/>
        <w:widowControl w:val="0"/>
        <w:wordWrap/>
        <w:overflowPunct/>
        <w:topLinePunct w:val="0"/>
        <w:autoSpaceDE w:val="0"/>
        <w:autoSpaceDN w:val="0"/>
        <w:bidi w:val="0"/>
        <w:spacing w:line="360" w:lineRule="auto"/>
        <w:ind w:firstLine="560" w:firstLineChars="200"/>
        <w:rPr>
          <w:rFonts w:hint="default" w:ascii="楷体_GB2312" w:hAnsi="楷体_GB2312" w:eastAsia="楷体_GB2312" w:cs="楷体_GB2312"/>
          <w:color w:val="auto"/>
          <w:kern w:val="0"/>
          <w:sz w:val="28"/>
          <w:szCs w:val="28"/>
          <w:highlight w:val="none"/>
          <w:u w:val="none"/>
          <w:lang w:val="en-US" w:eastAsia="zh-CN"/>
        </w:rPr>
      </w:pPr>
      <w:r>
        <w:rPr>
          <w:rFonts w:hint="eastAsia" w:ascii="楷体_GB2312" w:hAnsi="楷体_GB2312" w:eastAsia="楷体_GB2312" w:cs="楷体_GB2312"/>
          <w:color w:val="auto"/>
          <w:kern w:val="0"/>
          <w:sz w:val="28"/>
          <w:szCs w:val="28"/>
          <w:highlight w:val="none"/>
          <w:lang w:val="en-US" w:eastAsia="zh-CN"/>
        </w:rPr>
        <w:t>1、项目概况：高青至武城高速公路商河至平原段位于济南市商河县张坊镇孔家村东南、京沪高速（养护桩号K317+330）上，路线全长57.267km。</w:t>
      </w:r>
    </w:p>
    <w:p w14:paraId="35DD3F3B">
      <w:pPr>
        <w:keepNext w:val="0"/>
        <w:keepLines w:val="0"/>
        <w:pageBreakBefore w:val="0"/>
        <w:widowControl w:val="0"/>
        <w:wordWrap/>
        <w:overflowPunct/>
        <w:topLinePunct w:val="0"/>
        <w:autoSpaceDE w:val="0"/>
        <w:autoSpaceDN w:val="0"/>
        <w:bidi w:val="0"/>
        <w:spacing w:line="360" w:lineRule="auto"/>
        <w:ind w:firstLine="560" w:firstLineChars="200"/>
        <w:rPr>
          <w:rFonts w:hint="eastAsia" w:ascii="楷体_GB2312" w:hAnsi="楷体_GB2312" w:eastAsia="楷体_GB2312" w:cs="楷体_GB2312"/>
          <w:color w:val="auto"/>
          <w:sz w:val="28"/>
          <w:szCs w:val="28"/>
          <w:highlight w:val="none"/>
          <w:u w:val="none"/>
          <w:lang w:val="en-US" w:eastAsia="zh-CN"/>
        </w:rPr>
      </w:pPr>
      <w:r>
        <w:rPr>
          <w:rFonts w:hint="eastAsia" w:ascii="楷体_GB2312" w:hAnsi="楷体_GB2312" w:eastAsia="楷体_GB2312" w:cs="楷体_GB2312"/>
          <w:color w:val="auto"/>
          <w:kern w:val="0"/>
          <w:sz w:val="28"/>
          <w:szCs w:val="28"/>
          <w:highlight w:val="none"/>
          <w:lang w:val="en-US" w:eastAsia="zh-CN"/>
        </w:rPr>
        <w:t>2、谈判范</w:t>
      </w:r>
      <w:r>
        <w:rPr>
          <w:rFonts w:hint="eastAsia" w:ascii="楷体_GB2312" w:hAnsi="楷体_GB2312" w:eastAsia="楷体_GB2312" w:cs="楷体_GB2312"/>
          <w:color w:val="auto"/>
          <w:kern w:val="0"/>
          <w:sz w:val="28"/>
          <w:szCs w:val="28"/>
          <w:highlight w:val="none"/>
          <w:u w:val="none"/>
          <w:lang w:val="en-US" w:eastAsia="zh-CN"/>
        </w:rPr>
        <w:t>围：</w:t>
      </w:r>
      <w:r>
        <w:rPr>
          <w:rFonts w:hint="eastAsia" w:ascii="楷体_GB2312" w:hAnsi="楷体_GB2312" w:eastAsia="楷体_GB2312" w:cs="楷体_GB2312"/>
          <w:color w:val="auto"/>
          <w:sz w:val="28"/>
          <w:szCs w:val="28"/>
          <w:highlight w:val="none"/>
          <w:u w:val="none"/>
          <w:lang w:val="en-US" w:eastAsia="zh-CN"/>
        </w:rPr>
        <w:t>高青至武城高速公路商河至平原段工程隔离栅混凝土基础预制件采购项目</w:t>
      </w:r>
      <w:r>
        <w:rPr>
          <w:rFonts w:hint="eastAsia" w:ascii="楷体_GB2312" w:hAnsi="楷体_GB2312" w:eastAsia="楷体_GB2312" w:cs="楷体_GB2312"/>
          <w:b/>
          <w:bCs/>
          <w:color w:val="auto"/>
          <w:sz w:val="28"/>
          <w:szCs w:val="28"/>
          <w:highlight w:val="none"/>
          <w:u w:val="none"/>
          <w:lang w:val="en-US" w:eastAsia="zh-CN"/>
        </w:rPr>
        <w:t>（一标段）</w:t>
      </w:r>
    </w:p>
    <w:p w14:paraId="022FEEE8">
      <w:pPr>
        <w:keepNext w:val="0"/>
        <w:keepLines w:val="0"/>
        <w:pageBreakBefore w:val="0"/>
        <w:widowControl w:val="0"/>
        <w:wordWrap/>
        <w:overflowPunct/>
        <w:topLinePunct w:val="0"/>
        <w:autoSpaceDE w:val="0"/>
        <w:autoSpaceDN w:val="0"/>
        <w:bidi w:val="0"/>
        <w:spacing w:line="360" w:lineRule="auto"/>
        <w:ind w:firstLine="560" w:firstLineChars="200"/>
        <w:rPr>
          <w:rFonts w:hint="default" w:ascii="楷体_GB2312" w:hAnsi="楷体_GB2312" w:eastAsia="楷体_GB2312" w:cs="楷体_GB2312"/>
          <w:color w:val="auto"/>
          <w:kern w:val="0"/>
          <w:sz w:val="28"/>
          <w:szCs w:val="28"/>
          <w:highlight w:val="yellow"/>
          <w:lang w:val="en-US" w:eastAsia="zh-CN"/>
        </w:rPr>
      </w:pPr>
      <w:r>
        <w:rPr>
          <w:rFonts w:hint="eastAsia" w:ascii="楷体_GB2312" w:hAnsi="楷体_GB2312" w:eastAsia="楷体_GB2312" w:cs="楷体_GB2312"/>
          <w:color w:val="auto"/>
          <w:sz w:val="28"/>
          <w:szCs w:val="28"/>
          <w:highlight w:val="none"/>
          <w:u w:val="none"/>
          <w:lang w:val="en-US" w:eastAsia="zh-CN"/>
        </w:rPr>
        <w:t>3、</w:t>
      </w:r>
      <w:r>
        <w:rPr>
          <w:rFonts w:hint="eastAsia" w:ascii="楷体_GB2312" w:hAnsi="楷体_GB2312" w:eastAsia="楷体_GB2312" w:cs="楷体_GB2312"/>
          <w:color w:val="auto"/>
          <w:kern w:val="0"/>
          <w:sz w:val="28"/>
          <w:szCs w:val="28"/>
          <w:highlight w:val="yellow"/>
          <w:lang w:val="en-US" w:eastAsia="zh-CN"/>
        </w:rPr>
        <w:t>项目编号：DZSZZC-20250275 招标编号：SDZJXG-2025224、DDJJ-WZ-2025051</w:t>
      </w:r>
    </w:p>
    <w:p w14:paraId="78F879FD">
      <w:pPr>
        <w:keepNext w:val="0"/>
        <w:keepLines w:val="0"/>
        <w:pageBreakBefore w:val="0"/>
        <w:widowControl w:val="0"/>
        <w:wordWrap/>
        <w:overflowPunct/>
        <w:topLinePunct w:val="0"/>
        <w:autoSpaceDE w:val="0"/>
        <w:autoSpaceDN w:val="0"/>
        <w:bidi w:val="0"/>
        <w:spacing w:line="360" w:lineRule="auto"/>
        <w:ind w:firstLine="560" w:firstLineChars="200"/>
        <w:rPr>
          <w:rFonts w:hint="default"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4、谈判方式：现场报价（首轮、二轮）</w:t>
      </w:r>
    </w:p>
    <w:p w14:paraId="7833A43E">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color w:val="auto"/>
          <w:sz w:val="28"/>
          <w:szCs w:val="28"/>
          <w:highlight w:val="none"/>
          <w:lang w:val="zh-CN"/>
        </w:rPr>
      </w:pPr>
      <w:r>
        <w:rPr>
          <w:rFonts w:hint="eastAsia" w:ascii="楷体_GB2312" w:hAnsi="楷体_GB2312" w:eastAsia="楷体_GB2312" w:cs="楷体_GB2312"/>
          <w:b/>
          <w:bCs/>
          <w:color w:val="auto"/>
          <w:sz w:val="28"/>
          <w:szCs w:val="28"/>
          <w:highlight w:val="none"/>
          <w:lang w:val="zh-CN"/>
        </w:rPr>
        <w:t>二、资格要求</w:t>
      </w:r>
      <w:r>
        <w:rPr>
          <w:rFonts w:hint="eastAsia" w:ascii="楷体_GB2312" w:hAnsi="楷体_GB2312" w:eastAsia="楷体_GB2312" w:cs="楷体_GB2312"/>
          <w:color w:val="auto"/>
          <w:sz w:val="28"/>
          <w:szCs w:val="28"/>
          <w:highlight w:val="none"/>
          <w:lang w:val="zh-CN"/>
        </w:rPr>
        <w:t>：</w:t>
      </w:r>
    </w:p>
    <w:p w14:paraId="3944ED48">
      <w:pPr>
        <w:keepNext w:val="0"/>
        <w:keepLines w:val="0"/>
        <w:pageBreakBefore w:val="0"/>
        <w:widowControl w:val="0"/>
        <w:wordWrap/>
        <w:overflowPunct/>
        <w:topLinePunct w:val="0"/>
        <w:bidi w:val="0"/>
        <w:spacing w:line="360" w:lineRule="auto"/>
        <w:ind w:firstLine="560" w:firstLineChars="200"/>
        <w:rPr>
          <w:rFonts w:hint="eastAsia" w:ascii="楷体_GB2312" w:hAnsi="楷体_GB2312" w:eastAsia="楷体_GB2312" w:cs="楷体_GB2312"/>
          <w:b w:val="0"/>
          <w:bCs w:val="0"/>
          <w:color w:val="auto"/>
          <w:sz w:val="28"/>
          <w:szCs w:val="28"/>
          <w:highlight w:val="none"/>
          <w:lang w:val="zh-CN" w:eastAsia="zh-CN"/>
        </w:rPr>
      </w:pPr>
      <w:r>
        <w:rPr>
          <w:rFonts w:hint="eastAsia" w:ascii="楷体_GB2312" w:hAnsi="楷体_GB2312" w:eastAsia="楷体_GB2312" w:cs="楷体_GB2312"/>
          <w:b w:val="0"/>
          <w:bCs w:val="0"/>
          <w:color w:val="auto"/>
          <w:sz w:val="28"/>
          <w:szCs w:val="28"/>
          <w:highlight w:val="none"/>
          <w:lang w:val="zh-CN" w:eastAsia="zh-CN"/>
        </w:rPr>
        <w:t>1、供应商应符合《中华人民共和国招标投标法》及《中华人民共和国招标投标法实施条例》的规定，具有独立法人资格，持有有效的营业执照，具有履行合同所必需的设备、专业技术能力和项目实施能力；</w:t>
      </w:r>
    </w:p>
    <w:p w14:paraId="7F09413C">
      <w:pPr>
        <w:keepNext w:val="0"/>
        <w:keepLines w:val="0"/>
        <w:pageBreakBefore w:val="0"/>
        <w:widowControl w:val="0"/>
        <w:wordWrap/>
        <w:overflowPunct/>
        <w:topLinePunct w:val="0"/>
        <w:bidi w:val="0"/>
        <w:spacing w:line="360" w:lineRule="auto"/>
        <w:ind w:firstLine="560" w:firstLineChars="200"/>
        <w:rPr>
          <w:rFonts w:hint="eastAsia" w:ascii="楷体_GB2312" w:hAnsi="楷体_GB2312" w:eastAsia="楷体_GB2312" w:cs="楷体_GB2312"/>
          <w:b w:val="0"/>
          <w:bCs w:val="0"/>
          <w:color w:val="auto"/>
          <w:sz w:val="28"/>
          <w:szCs w:val="28"/>
          <w:highlight w:val="none"/>
          <w:lang w:val="zh-CN" w:eastAsia="zh-CN"/>
        </w:rPr>
      </w:pPr>
      <w:r>
        <w:rPr>
          <w:rFonts w:hint="eastAsia" w:ascii="楷体_GB2312" w:hAnsi="楷体_GB2312" w:eastAsia="楷体_GB2312" w:cs="楷体_GB2312"/>
          <w:b w:val="0"/>
          <w:bCs w:val="0"/>
          <w:color w:val="auto"/>
          <w:sz w:val="28"/>
          <w:szCs w:val="28"/>
          <w:highlight w:val="none"/>
          <w:lang w:val="zh-CN" w:eastAsia="zh-CN"/>
        </w:rPr>
        <w:t>2、供应商未被列入“信用中国”网站（https://www.creditchina.gov.cn/）或中国政府采购网（http://www.ccgp.gov.cn/）等渠道信用记录失信被执行人、重大税收违法案件当事人名单、政府采购严重违法失信行为记录名单；</w:t>
      </w:r>
    </w:p>
    <w:p w14:paraId="7FAB2BB0">
      <w:pPr>
        <w:keepNext w:val="0"/>
        <w:keepLines w:val="0"/>
        <w:pageBreakBefore w:val="0"/>
        <w:widowControl w:val="0"/>
        <w:wordWrap/>
        <w:overflowPunct/>
        <w:topLinePunct w:val="0"/>
        <w:bidi w:val="0"/>
        <w:spacing w:line="360" w:lineRule="auto"/>
        <w:ind w:firstLine="560" w:firstLineChars="200"/>
        <w:rPr>
          <w:rFonts w:hint="eastAsia" w:ascii="楷体_GB2312" w:hAnsi="楷体_GB2312" w:eastAsia="楷体_GB2312" w:cs="楷体_GB2312"/>
          <w:b w:val="0"/>
          <w:bCs w:val="0"/>
          <w:color w:val="auto"/>
          <w:sz w:val="28"/>
          <w:szCs w:val="28"/>
          <w:highlight w:val="none"/>
          <w:lang w:val="zh-CN" w:eastAsia="zh-CN"/>
        </w:rPr>
      </w:pPr>
      <w:r>
        <w:rPr>
          <w:rFonts w:hint="eastAsia" w:ascii="楷体_GB2312" w:hAnsi="楷体_GB2312" w:eastAsia="楷体_GB2312" w:cs="楷体_GB2312"/>
          <w:b w:val="0"/>
          <w:bCs w:val="0"/>
          <w:color w:val="auto"/>
          <w:sz w:val="28"/>
          <w:szCs w:val="28"/>
          <w:highlight w:val="none"/>
          <w:lang w:val="zh-CN" w:eastAsia="zh-CN"/>
        </w:rPr>
        <w:t>3、企业能开具增值税专用发票，具有良好的财务状况，具备履行合同能力、较好的经营业绩和售后服务能力；</w:t>
      </w:r>
    </w:p>
    <w:p w14:paraId="28A187CA">
      <w:pPr>
        <w:keepNext w:val="0"/>
        <w:keepLines w:val="0"/>
        <w:pageBreakBefore w:val="0"/>
        <w:widowControl w:val="0"/>
        <w:wordWrap/>
        <w:overflowPunct/>
        <w:topLinePunct w:val="0"/>
        <w:bidi w:val="0"/>
        <w:spacing w:line="360" w:lineRule="auto"/>
        <w:ind w:firstLine="560" w:firstLineChars="200"/>
        <w:rPr>
          <w:rFonts w:hint="eastAsia" w:ascii="楷体_GB2312" w:hAnsi="楷体_GB2312" w:eastAsia="楷体_GB2312" w:cs="楷体_GB2312"/>
          <w:b w:val="0"/>
          <w:bCs w:val="0"/>
          <w:color w:val="auto"/>
          <w:sz w:val="28"/>
          <w:szCs w:val="28"/>
          <w:highlight w:val="none"/>
          <w:lang w:val="zh-CN"/>
        </w:rPr>
      </w:pPr>
      <w:r>
        <w:rPr>
          <w:rFonts w:hint="eastAsia" w:ascii="楷体_GB2312" w:hAnsi="楷体_GB2312" w:eastAsia="楷体_GB2312" w:cs="楷体_GB2312"/>
          <w:b w:val="0"/>
          <w:bCs w:val="0"/>
          <w:color w:val="auto"/>
          <w:sz w:val="28"/>
          <w:szCs w:val="28"/>
          <w:highlight w:val="none"/>
          <w:lang w:val="zh-CN" w:eastAsia="zh-CN"/>
        </w:rPr>
        <w:t>4、单位负责人为同一人或者存在直接控股、管理关系的不同供应商，不得参加同一项目的招标活动；</w:t>
      </w:r>
    </w:p>
    <w:p w14:paraId="028C74BE">
      <w:pPr>
        <w:keepNext w:val="0"/>
        <w:keepLines w:val="0"/>
        <w:pageBreakBefore w:val="0"/>
        <w:widowControl w:val="0"/>
        <w:wordWrap/>
        <w:overflowPunct/>
        <w:topLinePunct w:val="0"/>
        <w:bidi w:val="0"/>
        <w:spacing w:line="360" w:lineRule="auto"/>
        <w:ind w:firstLine="560" w:firstLineChars="200"/>
        <w:rPr>
          <w:rFonts w:hint="eastAsia" w:ascii="楷体_GB2312" w:hAnsi="楷体_GB2312" w:eastAsia="楷体_GB2312" w:cs="楷体_GB2312"/>
          <w:b w:val="0"/>
          <w:bCs w:val="0"/>
          <w:color w:val="auto"/>
          <w:sz w:val="28"/>
          <w:szCs w:val="28"/>
          <w:highlight w:val="none"/>
          <w:lang w:val="zh-CN" w:eastAsia="zh-CN"/>
        </w:rPr>
      </w:pPr>
      <w:r>
        <w:rPr>
          <w:rFonts w:hint="eastAsia" w:ascii="楷体_GB2312" w:hAnsi="楷体_GB2312" w:eastAsia="楷体_GB2312" w:cs="楷体_GB2312"/>
          <w:b w:val="0"/>
          <w:bCs w:val="0"/>
          <w:color w:val="auto"/>
          <w:sz w:val="28"/>
          <w:szCs w:val="28"/>
          <w:highlight w:val="none"/>
          <w:lang w:val="zh-CN" w:eastAsia="zh-CN"/>
        </w:rPr>
        <w:t>5、本项目不接受联合体投标；</w:t>
      </w:r>
    </w:p>
    <w:p w14:paraId="75D98A59">
      <w:pPr>
        <w:keepNext w:val="0"/>
        <w:keepLines w:val="0"/>
        <w:pageBreakBefore w:val="0"/>
        <w:widowControl w:val="0"/>
        <w:wordWrap/>
        <w:overflowPunct/>
        <w:topLinePunct w:val="0"/>
        <w:bidi w:val="0"/>
        <w:spacing w:line="360" w:lineRule="auto"/>
        <w:ind w:firstLine="560" w:firstLineChars="200"/>
        <w:rPr>
          <w:rFonts w:hint="eastAsia" w:ascii="楷体_GB2312" w:hAnsi="楷体_GB2312" w:eastAsia="楷体_GB2312" w:cs="楷体_GB2312"/>
          <w:b w:val="0"/>
          <w:bCs w:val="0"/>
          <w:color w:val="auto"/>
          <w:sz w:val="28"/>
          <w:szCs w:val="28"/>
          <w:highlight w:val="none"/>
          <w:lang w:val="zh-CN"/>
        </w:rPr>
      </w:pPr>
      <w:r>
        <w:rPr>
          <w:rFonts w:hint="eastAsia" w:ascii="楷体_GB2312" w:hAnsi="楷体_GB2312" w:eastAsia="楷体_GB2312" w:cs="楷体_GB2312"/>
          <w:b w:val="0"/>
          <w:bCs w:val="0"/>
          <w:color w:val="auto"/>
          <w:sz w:val="28"/>
          <w:szCs w:val="28"/>
          <w:highlight w:val="none"/>
          <w:lang w:val="zh-CN" w:eastAsia="zh-CN"/>
        </w:rPr>
        <w:t>6</w:t>
      </w:r>
      <w:r>
        <w:rPr>
          <w:rFonts w:hint="eastAsia" w:ascii="楷体_GB2312" w:hAnsi="楷体_GB2312" w:eastAsia="楷体_GB2312" w:cs="楷体_GB2312"/>
          <w:b w:val="0"/>
          <w:bCs w:val="0"/>
          <w:color w:val="auto"/>
          <w:sz w:val="28"/>
          <w:szCs w:val="28"/>
          <w:highlight w:val="none"/>
          <w:lang w:val="zh-CN"/>
        </w:rPr>
        <w:t>、本项目采用资格后审方式；</w:t>
      </w:r>
    </w:p>
    <w:p w14:paraId="7B236B75">
      <w:pPr>
        <w:keepNext w:val="0"/>
        <w:keepLines w:val="0"/>
        <w:pageBreakBefore w:val="0"/>
        <w:widowControl w:val="0"/>
        <w:wordWrap/>
        <w:overflowPunct/>
        <w:topLinePunct w:val="0"/>
        <w:bidi w:val="0"/>
        <w:spacing w:line="360" w:lineRule="auto"/>
        <w:ind w:firstLine="560" w:firstLineChars="200"/>
        <w:rPr>
          <w:rFonts w:hint="eastAsia" w:ascii="楷体_GB2312" w:hAnsi="楷体_GB2312" w:eastAsia="楷体_GB2312" w:cs="楷体_GB2312"/>
          <w:b/>
          <w:bCs/>
          <w:color w:val="auto"/>
          <w:kern w:val="0"/>
          <w:sz w:val="28"/>
          <w:szCs w:val="28"/>
          <w:highlight w:val="none"/>
          <w:lang w:val="zh-TW" w:eastAsia="zh-CN"/>
        </w:rPr>
      </w:pPr>
      <w:r>
        <w:rPr>
          <w:rFonts w:hint="eastAsia" w:ascii="楷体_GB2312" w:hAnsi="楷体_GB2312" w:eastAsia="楷体_GB2312" w:cs="楷体_GB2312"/>
          <w:b w:val="0"/>
          <w:bCs w:val="0"/>
          <w:color w:val="auto"/>
          <w:sz w:val="28"/>
          <w:szCs w:val="28"/>
          <w:highlight w:val="none"/>
          <w:lang w:val="zh-CN" w:eastAsia="zh-CN"/>
        </w:rPr>
        <w:t>7</w:t>
      </w:r>
      <w:r>
        <w:rPr>
          <w:rFonts w:hint="eastAsia" w:ascii="楷体_GB2312" w:hAnsi="楷体_GB2312" w:eastAsia="楷体_GB2312" w:cs="楷体_GB2312"/>
          <w:b w:val="0"/>
          <w:bCs w:val="0"/>
          <w:color w:val="auto"/>
          <w:sz w:val="28"/>
          <w:szCs w:val="28"/>
          <w:highlight w:val="none"/>
          <w:lang w:val="zh-CN"/>
        </w:rPr>
        <w:t>、符合法律、行政法规规定的其他条件。</w:t>
      </w:r>
    </w:p>
    <w:p w14:paraId="5A85B106">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三、供货期及物资质量等响应要求：</w:t>
      </w:r>
    </w:p>
    <w:p w14:paraId="6FA66D24">
      <w:pPr>
        <w:keepNext w:val="0"/>
        <w:keepLines w:val="0"/>
        <w:pageBreakBefore w:val="0"/>
        <w:widowControl w:val="0"/>
        <w:wordWrap/>
        <w:overflowPunct/>
        <w:topLinePunct w:val="0"/>
        <w:autoSpaceDE w:val="0"/>
        <w:autoSpaceDN w:val="0"/>
        <w:bidi w:val="0"/>
        <w:spacing w:line="360" w:lineRule="auto"/>
        <w:ind w:firstLine="560"/>
        <w:rPr>
          <w:rFonts w:hint="eastAsia" w:ascii="楷体_GB2312" w:hAnsi="楷体_GB2312" w:eastAsia="楷体_GB2312" w:cs="楷体_GB2312"/>
          <w:color w:val="auto"/>
          <w:sz w:val="28"/>
          <w:szCs w:val="28"/>
          <w:highlight w:val="none"/>
          <w:lang w:eastAsia="zh-CN"/>
        </w:rPr>
      </w:pPr>
      <w:r>
        <w:rPr>
          <w:rFonts w:ascii="楷体_GB2312" w:hAnsi="楷体_GB2312" w:eastAsia="楷体_GB2312" w:cs="楷体_GB2312"/>
          <w:color w:val="auto"/>
          <w:sz w:val="28"/>
          <w:szCs w:val="28"/>
          <w:highlight w:val="none"/>
        </w:rPr>
        <w:t>1、</w:t>
      </w:r>
      <w:r>
        <w:rPr>
          <w:rFonts w:hint="eastAsia" w:ascii="楷体_GB2312" w:hAnsi="楷体_GB2312" w:eastAsia="楷体_GB2312" w:cs="楷体_GB2312"/>
          <w:color w:val="auto"/>
          <w:sz w:val="28"/>
          <w:szCs w:val="28"/>
          <w:highlight w:val="none"/>
          <w:lang w:val="en-US" w:eastAsia="zh-CN"/>
        </w:rPr>
        <w:t>供货期</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color w:val="auto"/>
          <w:sz w:val="28"/>
          <w:szCs w:val="28"/>
          <w:highlight w:val="none"/>
          <w:lang w:eastAsia="zh-CN"/>
        </w:rPr>
        <w:t>接通知后3日内开始供货，将材料运送到采购人指定地点</w:t>
      </w:r>
      <w:r>
        <w:rPr>
          <w:rFonts w:hint="eastAsia" w:ascii="楷体_GB2312" w:hAnsi="楷体_GB2312" w:eastAsia="楷体_GB2312" w:cs="楷体_GB2312"/>
          <w:color w:val="auto"/>
          <w:sz w:val="28"/>
          <w:szCs w:val="28"/>
          <w:highlight w:val="none"/>
          <w:lang w:val="en-US" w:eastAsia="zh-CN"/>
        </w:rPr>
        <w:t>。</w:t>
      </w:r>
    </w:p>
    <w:p w14:paraId="70BB2830">
      <w:pPr>
        <w:keepNext w:val="0"/>
        <w:keepLines w:val="0"/>
        <w:pageBreakBefore w:val="0"/>
        <w:widowControl w:val="0"/>
        <w:wordWrap/>
        <w:overflowPunct/>
        <w:topLinePunct w:val="0"/>
        <w:autoSpaceDE w:val="0"/>
        <w:autoSpaceDN w:val="0"/>
        <w:bidi w:val="0"/>
        <w:spacing w:line="360" w:lineRule="auto"/>
        <w:ind w:firstLine="560"/>
        <w:rPr>
          <w:rFonts w:ascii="楷体_GB2312" w:hAnsi="楷体_GB2312" w:eastAsia="楷体_GB2312" w:cs="楷体_GB2312"/>
          <w:color w:val="auto"/>
          <w:sz w:val="28"/>
          <w:szCs w:val="28"/>
          <w:highlight w:val="none"/>
        </w:rPr>
      </w:pPr>
      <w:r>
        <w:rPr>
          <w:rFonts w:ascii="楷体_GB2312" w:hAnsi="楷体_GB2312" w:eastAsia="楷体_GB2312" w:cs="楷体_GB2312"/>
          <w:color w:val="auto"/>
          <w:sz w:val="28"/>
          <w:szCs w:val="28"/>
          <w:highlight w:val="none"/>
        </w:rPr>
        <w:t>2、本</w:t>
      </w:r>
      <w:r>
        <w:rPr>
          <w:rFonts w:hint="eastAsia" w:ascii="楷体_GB2312" w:hAnsi="楷体_GB2312" w:eastAsia="楷体_GB2312" w:cs="楷体_GB2312"/>
          <w:color w:val="auto"/>
          <w:sz w:val="28"/>
          <w:szCs w:val="28"/>
          <w:highlight w:val="none"/>
        </w:rPr>
        <w:t>物资质量标准为：</w:t>
      </w:r>
      <w:r>
        <w:rPr>
          <w:rFonts w:hint="eastAsia" w:ascii="楷体_GB2312" w:hAnsi="楷体_GB2312" w:eastAsia="楷体_GB2312" w:cs="楷体_GB2312"/>
          <w:color w:val="auto"/>
          <w:sz w:val="28"/>
          <w:szCs w:val="28"/>
          <w:highlight w:val="none"/>
          <w:lang w:val="en-US" w:eastAsia="zh-CN"/>
        </w:rPr>
        <w:t>执行图纸（见附件4）要求和现行国家质量标准公路工程质量检验评定标准（JTG F80/1-2016)，其他要求见附件3</w:t>
      </w:r>
      <w:r>
        <w:rPr>
          <w:rFonts w:ascii="楷体_GB2312" w:hAnsi="楷体_GB2312" w:eastAsia="楷体_GB2312" w:cs="楷体_GB2312"/>
          <w:color w:val="auto"/>
          <w:sz w:val="28"/>
          <w:szCs w:val="28"/>
          <w:highlight w:val="none"/>
        </w:rPr>
        <w:t>。</w:t>
      </w:r>
    </w:p>
    <w:p w14:paraId="1B1578F7">
      <w:pPr>
        <w:keepNext w:val="0"/>
        <w:keepLines w:val="0"/>
        <w:pageBreakBefore w:val="0"/>
        <w:widowControl w:val="0"/>
        <w:wordWrap/>
        <w:overflowPunct/>
        <w:topLinePunct w:val="0"/>
        <w:autoSpaceDE w:val="0"/>
        <w:autoSpaceDN w:val="0"/>
        <w:bidi w:val="0"/>
        <w:spacing w:line="360" w:lineRule="auto"/>
        <w:ind w:firstLine="560"/>
        <w:rPr>
          <w:rFonts w:hint="eastAsia" w:ascii="楷体_GB2312" w:hAnsi="楷体_GB2312" w:eastAsia="楷体_GB2312" w:cs="楷体_GB2312"/>
          <w:b/>
          <w:bCs/>
          <w:color w:val="auto"/>
          <w:sz w:val="28"/>
          <w:szCs w:val="28"/>
          <w:highlight w:val="none"/>
          <w:lang w:eastAsia="zh-CN"/>
        </w:rPr>
      </w:pPr>
      <w:r>
        <w:rPr>
          <w:rFonts w:hint="eastAsia" w:ascii="楷体_GB2312" w:hAnsi="楷体_GB2312" w:eastAsia="楷体_GB2312" w:cs="楷体_GB2312"/>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安全目标</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b/>
          <w:bCs/>
          <w:color w:val="auto"/>
          <w:sz w:val="28"/>
          <w:szCs w:val="28"/>
          <w:highlight w:val="none"/>
        </w:rPr>
        <w:t>项目实施中无安全责任事故</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rPr>
        <w:t>环保目标</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b/>
          <w:bCs/>
          <w:color w:val="auto"/>
          <w:sz w:val="28"/>
          <w:szCs w:val="28"/>
          <w:highlight w:val="none"/>
        </w:rPr>
        <w:t>项目实施中无较大及以上环境事件发生</w:t>
      </w:r>
      <w:r>
        <w:rPr>
          <w:rFonts w:hint="eastAsia" w:ascii="楷体_GB2312" w:hAnsi="楷体_GB2312" w:eastAsia="楷体_GB2312" w:cs="楷体_GB2312"/>
          <w:b/>
          <w:bCs/>
          <w:color w:val="auto"/>
          <w:sz w:val="28"/>
          <w:szCs w:val="28"/>
          <w:highlight w:val="none"/>
          <w:lang w:eastAsia="zh-CN"/>
        </w:rPr>
        <w:t>。</w:t>
      </w:r>
    </w:p>
    <w:p w14:paraId="16968BEB">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四、控制价以及影响报价的因素说明</w:t>
      </w:r>
    </w:p>
    <w:p w14:paraId="3B29A2C1">
      <w:pPr>
        <w:keepNext w:val="0"/>
        <w:keepLines w:val="0"/>
        <w:pageBreakBefore w:val="0"/>
        <w:widowControl w:val="0"/>
        <w:wordWrap/>
        <w:overflowPunct/>
        <w:topLinePunct w:val="0"/>
        <w:autoSpaceDE w:val="0"/>
        <w:autoSpaceDN w:val="0"/>
        <w:bidi w:val="0"/>
        <w:spacing w:line="360" w:lineRule="auto"/>
        <w:ind w:firstLine="560"/>
        <w:rPr>
          <w:rFonts w:hint="eastAsia" w:ascii="楷体_GB2312" w:hAnsi="楷体_GB2312" w:eastAsia="楷体_GB2312" w:cs="楷体_GB2312"/>
          <w:color w:val="auto"/>
          <w:sz w:val="28"/>
          <w:szCs w:val="28"/>
          <w:highlight w:val="none"/>
          <w:u w:val="single"/>
          <w:lang w:val="en-US" w:eastAsia="zh-CN"/>
        </w:rPr>
      </w:pPr>
      <w:r>
        <w:rPr>
          <w:rFonts w:ascii="楷体_GB2312" w:hAnsi="楷体_GB2312" w:eastAsia="楷体_GB2312" w:cs="楷体_GB2312"/>
          <w:color w:val="auto"/>
          <w:sz w:val="28"/>
          <w:szCs w:val="28"/>
          <w:highlight w:val="none"/>
        </w:rPr>
        <w:t>1、</w:t>
      </w:r>
      <w:r>
        <w:rPr>
          <w:rFonts w:hint="eastAsia" w:ascii="楷体_GB2312" w:hAnsi="楷体_GB2312" w:eastAsia="楷体_GB2312" w:cs="楷体_GB2312"/>
          <w:color w:val="auto"/>
          <w:sz w:val="28"/>
          <w:szCs w:val="28"/>
          <w:highlight w:val="none"/>
          <w:lang w:val="en-US" w:eastAsia="zh-CN"/>
        </w:rPr>
        <w:t>控制价</w:t>
      </w:r>
      <w:r>
        <w:rPr>
          <w:rFonts w:ascii="楷体_GB2312" w:hAnsi="楷体_GB2312" w:eastAsia="楷体_GB2312" w:cs="楷体_GB2312"/>
          <w:color w:val="auto"/>
          <w:sz w:val="28"/>
          <w:szCs w:val="28"/>
          <w:highlight w:val="none"/>
        </w:rPr>
        <w:t>：</w:t>
      </w:r>
    </w:p>
    <w:tbl>
      <w:tblPr>
        <w:tblStyle w:val="13"/>
        <w:tblW w:w="8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1202"/>
        <w:gridCol w:w="729"/>
        <w:gridCol w:w="930"/>
        <w:gridCol w:w="1296"/>
        <w:gridCol w:w="1438"/>
        <w:gridCol w:w="1802"/>
      </w:tblGrid>
      <w:tr w14:paraId="21A6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1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细目号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3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细目名称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F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0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控制单价（元，不含税）</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0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控制合计（元，不含税）</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D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施工内容</w:t>
            </w:r>
          </w:p>
        </w:tc>
      </w:tr>
      <w:tr w14:paraId="7965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983" w:type="dxa"/>
            <w:vMerge w:val="restart"/>
            <w:tcBorders>
              <w:top w:val="single" w:color="000000" w:sz="4" w:space="0"/>
              <w:left w:val="single" w:color="000000" w:sz="4" w:space="0"/>
              <w:bottom w:val="nil"/>
              <w:right w:val="single" w:color="000000" w:sz="4" w:space="0"/>
            </w:tcBorders>
            <w:shd w:val="clear" w:color="auto" w:fill="auto"/>
            <w:vAlign w:val="center"/>
          </w:tcPr>
          <w:p w14:paraId="4697F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一标段（K0+000-K29+177）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B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隔离栅混凝土基础300*300*500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C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C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26750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0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28.58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E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764515.00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包含但不限于场地费、混凝土、模板、预制、养生、运输、装卸车及卸车前的全部费用。</w:t>
            </w:r>
          </w:p>
        </w:tc>
      </w:tr>
      <w:tr w14:paraId="06FB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983" w:type="dxa"/>
            <w:vMerge w:val="continue"/>
            <w:tcBorders>
              <w:top w:val="single" w:color="000000" w:sz="4" w:space="0"/>
              <w:left w:val="single" w:color="000000" w:sz="4" w:space="0"/>
              <w:bottom w:val="nil"/>
              <w:right w:val="single" w:color="000000" w:sz="4" w:space="0"/>
            </w:tcBorders>
            <w:shd w:val="clear" w:color="auto" w:fill="auto"/>
            <w:vAlign w:val="center"/>
          </w:tcPr>
          <w:p w14:paraId="26D34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i w:val="0"/>
                <w:iCs w:val="0"/>
                <w:color w:val="auto"/>
                <w:sz w:val="24"/>
                <w:szCs w:val="24"/>
                <w:highlight w:val="none"/>
                <w:u w:val="none"/>
              </w:rPr>
            </w:pP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7C84F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隔离栅混凝土基础400*400*600</w:t>
            </w:r>
          </w:p>
        </w:tc>
        <w:tc>
          <w:tcPr>
            <w:tcW w:w="729" w:type="dxa"/>
            <w:tcBorders>
              <w:top w:val="single" w:color="000000" w:sz="4" w:space="0"/>
              <w:left w:val="single" w:color="000000" w:sz="4" w:space="0"/>
              <w:bottom w:val="nil"/>
              <w:right w:val="single" w:color="000000" w:sz="4" w:space="0"/>
            </w:tcBorders>
            <w:shd w:val="clear" w:color="auto" w:fill="auto"/>
            <w:vAlign w:val="center"/>
          </w:tcPr>
          <w:p w14:paraId="0C54C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29B6F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3644</w:t>
            </w:r>
          </w:p>
        </w:tc>
        <w:tc>
          <w:tcPr>
            <w:tcW w:w="1296" w:type="dxa"/>
            <w:tcBorders>
              <w:top w:val="single" w:color="000000" w:sz="4" w:space="0"/>
              <w:left w:val="single" w:color="000000" w:sz="4" w:space="0"/>
              <w:bottom w:val="nil"/>
              <w:right w:val="single" w:color="000000" w:sz="4" w:space="0"/>
            </w:tcBorders>
            <w:shd w:val="clear" w:color="auto" w:fill="auto"/>
            <w:vAlign w:val="center"/>
          </w:tcPr>
          <w:p w14:paraId="13BFD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4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222065.36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包含但不限于场地费、混凝土、模板、预制、养生、运输、装卸车及卸车前的全部费用。</w:t>
            </w:r>
          </w:p>
        </w:tc>
      </w:tr>
      <w:tr w14:paraId="22B1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5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12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控制总价合计（元，不含税）：</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A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986580.36 </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74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i w:val="0"/>
                <w:iCs w:val="0"/>
                <w:color w:val="auto"/>
                <w:sz w:val="24"/>
                <w:szCs w:val="24"/>
                <w:highlight w:val="none"/>
                <w:u w:val="none"/>
              </w:rPr>
            </w:pPr>
          </w:p>
        </w:tc>
      </w:tr>
    </w:tbl>
    <w:p w14:paraId="1C6DA3D0">
      <w:pPr>
        <w:keepNext w:val="0"/>
        <w:keepLines w:val="0"/>
        <w:pageBreakBefore w:val="0"/>
        <w:widowControl w:val="0"/>
        <w:wordWrap/>
        <w:overflowPunct/>
        <w:topLinePunct w:val="0"/>
        <w:autoSpaceDE w:val="0"/>
        <w:autoSpaceDN w:val="0"/>
        <w:bidi w:val="0"/>
        <w:spacing w:line="360" w:lineRule="auto"/>
        <w:ind w:firstLine="560"/>
        <w:rPr>
          <w:rFonts w:hint="eastAsia" w:ascii="楷体_GB2312" w:hAnsi="楷体_GB2312" w:eastAsia="楷体_GB2312" w:cs="楷体_GB2312"/>
          <w:color w:val="auto"/>
          <w:sz w:val="28"/>
          <w:szCs w:val="28"/>
          <w:highlight w:val="none"/>
          <w:u w:val="none"/>
          <w:lang w:val="en-US" w:eastAsia="zh-CN"/>
        </w:rPr>
      </w:pPr>
      <w:r>
        <w:rPr>
          <w:rFonts w:hint="eastAsia" w:ascii="楷体_GB2312" w:hAnsi="楷体_GB2312" w:eastAsia="楷体_GB2312" w:cs="楷体_GB2312"/>
          <w:color w:val="auto"/>
          <w:sz w:val="28"/>
          <w:szCs w:val="28"/>
          <w:highlight w:val="none"/>
          <w:u w:val="none"/>
          <w:lang w:val="en-US" w:eastAsia="zh-CN"/>
        </w:rPr>
        <w:t>注：超出控制单价及控制总价均按无效价处理；</w:t>
      </w:r>
    </w:p>
    <w:p w14:paraId="561A69DC">
      <w:pPr>
        <w:keepNext w:val="0"/>
        <w:keepLines w:val="0"/>
        <w:pageBreakBefore w:val="0"/>
        <w:widowControl w:val="0"/>
        <w:wordWrap/>
        <w:overflowPunct/>
        <w:topLinePunct w:val="0"/>
        <w:autoSpaceDE w:val="0"/>
        <w:autoSpaceDN w:val="0"/>
        <w:bidi w:val="0"/>
        <w:spacing w:line="360" w:lineRule="auto"/>
        <w:ind w:firstLine="560"/>
        <w:rPr>
          <w:rFonts w:ascii="楷体_GB2312" w:hAnsi="楷体_GB2312" w:eastAsia="楷体_GB2312" w:cs="楷体_GB2312"/>
          <w:color w:val="auto"/>
          <w:sz w:val="28"/>
          <w:szCs w:val="28"/>
          <w:highlight w:val="none"/>
        </w:rPr>
      </w:pPr>
      <w:r>
        <w:rPr>
          <w:rFonts w:ascii="楷体_GB2312" w:hAnsi="楷体_GB2312" w:eastAsia="楷体_GB2312" w:cs="楷体_GB2312"/>
          <w:color w:val="auto"/>
          <w:sz w:val="28"/>
          <w:szCs w:val="28"/>
          <w:highlight w:val="none"/>
        </w:rPr>
        <w:t>2、投标单价均</w:t>
      </w:r>
      <w:r>
        <w:rPr>
          <w:rFonts w:hint="eastAsia" w:ascii="楷体_GB2312" w:hAnsi="楷体_GB2312" w:eastAsia="楷体_GB2312" w:cs="楷体_GB2312"/>
          <w:color w:val="auto"/>
          <w:sz w:val="28"/>
          <w:szCs w:val="28"/>
          <w:highlight w:val="none"/>
          <w:lang w:val="en-US" w:eastAsia="zh-CN"/>
        </w:rPr>
        <w:t>为实施本合同内容所发生的人工费、材料费、机械设备费、燃油费、水电费、人员及机械设备进出场费、运输（含装卸）、场地费、混凝土、模板、预制、养生、装卸车及卸车前的全部费用、试验检测费等为完成本项目的除税费外的所有费用、责任、义务和风险。</w:t>
      </w:r>
      <w:r>
        <w:rPr>
          <w:rFonts w:hint="eastAsia" w:ascii="楷体_GB2312" w:hAnsi="楷体_GB2312" w:eastAsia="楷体_GB2312" w:cs="楷体_GB2312"/>
          <w:color w:val="auto"/>
          <w:sz w:val="28"/>
          <w:szCs w:val="28"/>
          <w:highlight w:val="none"/>
        </w:rPr>
        <w:t>除非</w:t>
      </w:r>
      <w:r>
        <w:rPr>
          <w:rFonts w:hint="eastAsia" w:ascii="楷体_GB2312" w:hAnsi="楷体_GB2312" w:eastAsia="楷体_GB2312" w:cs="楷体_GB2312"/>
          <w:color w:val="auto"/>
          <w:sz w:val="28"/>
          <w:szCs w:val="28"/>
          <w:highlight w:val="none"/>
          <w:lang w:eastAsia="zh-CN"/>
        </w:rPr>
        <w:t>采购人</w:t>
      </w:r>
      <w:r>
        <w:rPr>
          <w:rFonts w:hint="eastAsia" w:ascii="楷体_GB2312" w:hAnsi="楷体_GB2312" w:eastAsia="楷体_GB2312" w:cs="楷体_GB2312"/>
          <w:color w:val="auto"/>
          <w:sz w:val="28"/>
          <w:szCs w:val="28"/>
          <w:highlight w:val="none"/>
        </w:rPr>
        <w:t>变更或调整产品的品种、规格、技术参数以外，</w:t>
      </w:r>
      <w:r>
        <w:rPr>
          <w:rFonts w:hint="eastAsia" w:ascii="楷体_GB2312" w:hAnsi="楷体_GB2312" w:eastAsia="楷体_GB2312" w:cs="楷体_GB2312"/>
          <w:color w:val="auto"/>
          <w:sz w:val="28"/>
          <w:szCs w:val="28"/>
          <w:highlight w:val="none"/>
          <w:lang w:eastAsia="zh-CN"/>
        </w:rPr>
        <w:t>供应商</w:t>
      </w:r>
      <w:r>
        <w:rPr>
          <w:rFonts w:hint="eastAsia" w:ascii="楷体_GB2312" w:hAnsi="楷体_GB2312" w:eastAsia="楷体_GB2312" w:cs="楷体_GB2312"/>
          <w:color w:val="auto"/>
          <w:sz w:val="28"/>
          <w:szCs w:val="28"/>
          <w:highlight w:val="none"/>
        </w:rPr>
        <w:t>所报的综合单价在合同实施期间均不再调整，并根据实际发生工程量据实结算，不因市场环境因素、数量增减而调整单价价格</w:t>
      </w:r>
      <w:r>
        <w:rPr>
          <w:rFonts w:hint="eastAsia" w:ascii="宋体" w:hAnsi="宋体" w:eastAsia="宋体" w:cs="宋体"/>
          <w:i w:val="0"/>
          <w:iCs w:val="0"/>
          <w:snapToGrid w:val="0"/>
          <w:color w:val="auto"/>
          <w:kern w:val="0"/>
          <w:sz w:val="24"/>
          <w:szCs w:val="24"/>
          <w:highlight w:val="none"/>
          <w:u w:val="none"/>
          <w:lang w:val="en-US" w:eastAsia="zh-CN" w:bidi="ar"/>
        </w:rPr>
        <w:t>。</w:t>
      </w:r>
    </w:p>
    <w:p w14:paraId="1B552613">
      <w:pPr>
        <w:keepNext w:val="0"/>
        <w:keepLines w:val="0"/>
        <w:pageBreakBefore w:val="0"/>
        <w:widowControl w:val="0"/>
        <w:wordWrap/>
        <w:overflowPunct/>
        <w:topLinePunct w:val="0"/>
        <w:autoSpaceDE w:val="0"/>
        <w:autoSpaceDN w:val="0"/>
        <w:bidi w:val="0"/>
        <w:spacing w:line="360" w:lineRule="auto"/>
        <w:ind w:firstLine="560"/>
        <w:rPr>
          <w:rFonts w:hint="eastAsia" w:ascii="楷体_GB2312" w:hAnsi="楷体_GB2312" w:eastAsia="楷体_GB2312" w:cs="楷体_GB2312"/>
          <w:color w:val="auto"/>
          <w:sz w:val="28"/>
          <w:szCs w:val="28"/>
          <w:highlight w:val="none"/>
          <w:lang w:eastAsia="zh-CN"/>
        </w:rPr>
      </w:pPr>
      <w:r>
        <w:rPr>
          <w:rFonts w:ascii="楷体_GB2312" w:hAnsi="楷体_GB2312" w:eastAsia="楷体_GB2312" w:cs="楷体_GB2312"/>
          <w:color w:val="auto"/>
          <w:sz w:val="28"/>
          <w:szCs w:val="28"/>
          <w:highlight w:val="none"/>
        </w:rPr>
        <w:t>3、开具发票或代扣税金的要求：①付款时承包方提供本公司开户银行及开户账号，并出具符合项目所在地税务机关要求的增值税专用发票，方能申请付款；②税金=不含税总价×税率</w:t>
      </w:r>
      <w:r>
        <w:rPr>
          <w:rFonts w:hint="eastAsia" w:ascii="楷体_GB2312" w:hAnsi="楷体_GB2312" w:eastAsia="楷体_GB2312" w:cs="楷体_GB2312"/>
          <w:color w:val="auto"/>
          <w:sz w:val="28"/>
          <w:szCs w:val="28"/>
          <w:highlight w:val="none"/>
          <w:lang w:eastAsia="zh-CN"/>
        </w:rPr>
        <w:t>。</w:t>
      </w:r>
    </w:p>
    <w:p w14:paraId="72851012">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五、货款的支付</w:t>
      </w:r>
    </w:p>
    <w:p w14:paraId="063F60A7">
      <w:pPr>
        <w:keepNext w:val="0"/>
        <w:keepLines w:val="0"/>
        <w:pageBreakBefore w:val="0"/>
        <w:widowControl w:val="0"/>
        <w:wordWrap/>
        <w:overflowPunct/>
        <w:topLinePunct w:val="0"/>
        <w:autoSpaceDE w:val="0"/>
        <w:autoSpaceDN w:val="0"/>
        <w:bidi w:val="0"/>
        <w:adjustRightInd w:val="0"/>
        <w:spacing w:line="360" w:lineRule="auto"/>
        <w:ind w:firstLine="45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color w:val="auto"/>
          <w:sz w:val="28"/>
          <w:szCs w:val="28"/>
          <w:highlight w:val="none"/>
        </w:rPr>
        <w:t>①</w:t>
      </w:r>
      <w:r>
        <w:rPr>
          <w:rFonts w:hint="eastAsia" w:ascii="楷体_GB2312" w:hAnsi="楷体_GB2312" w:eastAsia="楷体_GB2312" w:cs="楷体_GB2312"/>
          <w:color w:val="auto"/>
          <w:sz w:val="28"/>
          <w:szCs w:val="28"/>
          <w:highlight w:val="none"/>
          <w:lang w:val="en-US" w:eastAsia="zh-CN"/>
        </w:rPr>
        <w:t>材料</w:t>
      </w:r>
      <w:r>
        <w:rPr>
          <w:rFonts w:hint="eastAsia" w:ascii="楷体_GB2312" w:hAnsi="楷体_GB2312" w:eastAsia="楷体_GB2312" w:cs="楷体_GB2312"/>
          <w:color w:val="auto"/>
          <w:sz w:val="28"/>
          <w:szCs w:val="28"/>
          <w:highlight w:val="none"/>
        </w:rPr>
        <w:t>预付款：本</w:t>
      </w:r>
      <w:r>
        <w:rPr>
          <w:rFonts w:hint="eastAsia" w:ascii="楷体_GB2312" w:hAnsi="楷体_GB2312" w:eastAsia="楷体_GB2312" w:cs="楷体_GB2312"/>
          <w:color w:val="auto"/>
          <w:sz w:val="28"/>
          <w:szCs w:val="28"/>
          <w:highlight w:val="none"/>
          <w:lang w:val="en-US" w:eastAsia="zh-CN"/>
        </w:rPr>
        <w:t>材料</w:t>
      </w:r>
      <w:r>
        <w:rPr>
          <w:rFonts w:hint="eastAsia" w:ascii="楷体_GB2312" w:hAnsi="楷体_GB2312" w:eastAsia="楷体_GB2312" w:cs="楷体_GB2312"/>
          <w:color w:val="auto"/>
          <w:sz w:val="28"/>
          <w:szCs w:val="28"/>
          <w:highlight w:val="none"/>
        </w:rPr>
        <w:t>无</w:t>
      </w:r>
      <w:r>
        <w:rPr>
          <w:rFonts w:hint="eastAsia" w:ascii="楷体_GB2312" w:hAnsi="楷体_GB2312" w:eastAsia="楷体_GB2312" w:cs="楷体_GB2312"/>
          <w:color w:val="auto"/>
          <w:sz w:val="28"/>
          <w:szCs w:val="28"/>
          <w:highlight w:val="none"/>
          <w:lang w:val="en-US" w:eastAsia="zh-CN"/>
        </w:rPr>
        <w:t>材料</w:t>
      </w:r>
      <w:r>
        <w:rPr>
          <w:rFonts w:hint="eastAsia" w:ascii="楷体_GB2312" w:hAnsi="楷体_GB2312" w:eastAsia="楷体_GB2312" w:cs="楷体_GB2312"/>
          <w:color w:val="auto"/>
          <w:sz w:val="28"/>
          <w:szCs w:val="28"/>
          <w:highlight w:val="none"/>
        </w:rPr>
        <w:t>预付款；②</w:t>
      </w:r>
      <w:r>
        <w:rPr>
          <w:rFonts w:hint="eastAsia" w:ascii="楷体_GB2312" w:hAnsi="楷体_GB2312" w:eastAsia="楷体_GB2312" w:cs="楷体_GB2312"/>
          <w:color w:val="auto"/>
          <w:sz w:val="28"/>
          <w:szCs w:val="28"/>
          <w:highlight w:val="none"/>
          <w:lang w:val="en-US" w:eastAsia="zh-CN"/>
        </w:rPr>
        <w:t>乙方凭结算单及发票到甲方财务挂账后，半年内结清结算额的70%，一年内结清全部余款，扣留3%作为质量保证金，待质保期满12个月后，无息支付</w:t>
      </w:r>
      <w:r>
        <w:rPr>
          <w:rFonts w:hint="eastAsia" w:ascii="楷体_GB2312" w:hAnsi="楷体_GB2312" w:eastAsia="楷体_GB2312" w:cs="楷体_GB2312"/>
          <w:color w:val="auto"/>
          <w:sz w:val="28"/>
          <w:szCs w:val="28"/>
          <w:highlight w:val="none"/>
        </w:rPr>
        <w:t>。</w:t>
      </w:r>
    </w:p>
    <w:p w14:paraId="7323273C">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六、递交报价函的时间、地点以及其他应说明的问题</w:t>
      </w:r>
    </w:p>
    <w:p w14:paraId="0280F06C">
      <w:pPr>
        <w:keepNext w:val="0"/>
        <w:keepLines w:val="0"/>
        <w:pageBreakBefore w:val="0"/>
        <w:widowControl w:val="0"/>
        <w:wordWrap/>
        <w:overflowPunct/>
        <w:topLinePunct w:val="0"/>
        <w:autoSpaceDE w:val="0"/>
        <w:autoSpaceDN w:val="0"/>
        <w:bidi w:val="0"/>
        <w:adjustRightInd w:val="0"/>
        <w:spacing w:line="360" w:lineRule="auto"/>
        <w:ind w:firstLine="450"/>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1、</w:t>
      </w:r>
      <w:r>
        <w:rPr>
          <w:rFonts w:hint="eastAsia" w:ascii="楷体_GB2312" w:hAnsi="楷体_GB2312" w:eastAsia="楷体_GB2312" w:cs="楷体_GB2312"/>
          <w:color w:val="auto"/>
          <w:sz w:val="28"/>
          <w:szCs w:val="28"/>
          <w:highlight w:val="none"/>
        </w:rPr>
        <w:t>报价单提交时间及相关要求：请</w:t>
      </w:r>
      <w:r>
        <w:rPr>
          <w:rFonts w:hint="eastAsia" w:ascii="楷体_GB2312" w:hAnsi="楷体_GB2312" w:eastAsia="楷体_GB2312" w:cs="楷体_GB2312"/>
          <w:color w:val="auto"/>
          <w:sz w:val="28"/>
          <w:szCs w:val="28"/>
          <w:highlight w:val="yellow"/>
        </w:rPr>
        <w:t>于</w:t>
      </w:r>
      <w:r>
        <w:rPr>
          <w:rFonts w:hint="eastAsia" w:ascii="楷体_GB2312" w:hAnsi="楷体_GB2312" w:eastAsia="楷体_GB2312" w:cs="楷体_GB2312"/>
          <w:color w:val="auto"/>
          <w:sz w:val="28"/>
          <w:szCs w:val="28"/>
          <w:highlight w:val="yellow"/>
          <w:lang w:val="en-US" w:eastAsia="zh-CN"/>
        </w:rPr>
        <w:t>2025年7月28</w:t>
      </w:r>
      <w:r>
        <w:rPr>
          <w:rFonts w:hint="eastAsia" w:ascii="楷体_GB2312" w:hAnsi="楷体_GB2312" w:eastAsia="楷体_GB2312" w:cs="楷体_GB2312"/>
          <w:color w:val="auto"/>
          <w:sz w:val="28"/>
          <w:szCs w:val="28"/>
          <w:highlight w:val="yellow"/>
        </w:rPr>
        <w:t>日</w:t>
      </w:r>
      <w:r>
        <w:rPr>
          <w:rFonts w:hint="eastAsia" w:ascii="楷体_GB2312" w:hAnsi="楷体_GB2312" w:eastAsia="楷体_GB2312" w:cs="楷体_GB2312"/>
          <w:color w:val="auto"/>
          <w:sz w:val="28"/>
          <w:szCs w:val="28"/>
          <w:highlight w:val="yellow"/>
          <w:lang w:val="en-US" w:eastAsia="zh-CN"/>
        </w:rPr>
        <w:t>15</w:t>
      </w:r>
      <w:r>
        <w:rPr>
          <w:rFonts w:hint="eastAsia" w:ascii="楷体_GB2312" w:hAnsi="楷体_GB2312" w:eastAsia="楷体_GB2312" w:cs="楷体_GB2312"/>
          <w:color w:val="auto"/>
          <w:sz w:val="28"/>
          <w:szCs w:val="28"/>
          <w:highlight w:val="yellow"/>
        </w:rPr>
        <w:t>时</w:t>
      </w:r>
      <w:r>
        <w:rPr>
          <w:rFonts w:hint="eastAsia" w:ascii="楷体_GB2312" w:hAnsi="楷体_GB2312" w:eastAsia="楷体_GB2312" w:cs="楷体_GB2312"/>
          <w:color w:val="auto"/>
          <w:sz w:val="28"/>
          <w:szCs w:val="28"/>
          <w:highlight w:val="yellow"/>
          <w:lang w:val="en-US" w:eastAsia="zh-CN"/>
        </w:rPr>
        <w:t>30</w:t>
      </w:r>
      <w:r>
        <w:rPr>
          <w:rFonts w:hint="eastAsia" w:ascii="楷体_GB2312" w:hAnsi="楷体_GB2312" w:eastAsia="楷体_GB2312" w:cs="楷体_GB2312"/>
          <w:color w:val="auto"/>
          <w:sz w:val="28"/>
          <w:szCs w:val="28"/>
          <w:highlight w:val="yellow"/>
        </w:rPr>
        <w:t>分前</w:t>
      </w:r>
      <w:r>
        <w:rPr>
          <w:rFonts w:hint="eastAsia" w:ascii="楷体_GB2312" w:hAnsi="楷体_GB2312" w:eastAsia="楷体_GB2312" w:cs="楷体_GB2312"/>
          <w:color w:val="auto"/>
          <w:sz w:val="28"/>
          <w:szCs w:val="28"/>
          <w:highlight w:val="none"/>
        </w:rPr>
        <w:t>，提交至</w:t>
      </w:r>
      <w:r>
        <w:rPr>
          <w:rFonts w:hint="eastAsia" w:ascii="楷体_GB2312" w:hAnsi="楷体_GB2312" w:eastAsia="楷体_GB2312" w:cs="楷体_GB2312"/>
          <w:color w:val="auto"/>
          <w:sz w:val="28"/>
          <w:szCs w:val="28"/>
          <w:highlight w:val="none"/>
          <w:lang w:val="en-US" w:eastAsia="zh-CN"/>
        </w:rPr>
        <w:t>德达交通建设发展集团528会议室。</w:t>
      </w:r>
      <w:r>
        <w:rPr>
          <w:rFonts w:hint="eastAsia" w:ascii="楷体_GB2312" w:hAnsi="楷体_GB2312" w:eastAsia="楷体_GB2312" w:cs="楷体_GB2312"/>
          <w:color w:val="auto"/>
          <w:sz w:val="28"/>
          <w:szCs w:val="28"/>
          <w:highlight w:val="none"/>
        </w:rPr>
        <w:t>报价单按照我公司规定格式</w:t>
      </w:r>
      <w:r>
        <w:rPr>
          <w:rFonts w:hint="eastAsia" w:ascii="楷体_GB2312" w:hAnsi="楷体_GB2312" w:eastAsia="楷体_GB2312" w:cs="楷体_GB2312"/>
          <w:color w:val="auto"/>
          <w:sz w:val="28"/>
          <w:szCs w:val="28"/>
          <w:highlight w:val="none"/>
          <w:lang w:eastAsia="zh-CN"/>
        </w:rPr>
        <w:t>填写</w:t>
      </w:r>
      <w:r>
        <w:rPr>
          <w:rFonts w:hint="eastAsia" w:ascii="楷体_GB2312" w:hAnsi="楷体_GB2312" w:eastAsia="楷体_GB2312" w:cs="楷体_GB2312"/>
          <w:color w:val="auto"/>
          <w:sz w:val="28"/>
          <w:szCs w:val="28"/>
          <w:highlight w:val="none"/>
        </w:rPr>
        <w:t>，并且需要盖章签字。</w:t>
      </w:r>
    </w:p>
    <w:p w14:paraId="7AD926FC">
      <w:pPr>
        <w:keepNext w:val="0"/>
        <w:keepLines w:val="0"/>
        <w:pageBreakBefore w:val="0"/>
        <w:widowControl w:val="0"/>
        <w:wordWrap/>
        <w:overflowPunct/>
        <w:topLinePunct w:val="0"/>
        <w:autoSpaceDE w:val="0"/>
        <w:autoSpaceDN w:val="0"/>
        <w:bidi w:val="0"/>
        <w:adjustRightInd w:val="0"/>
        <w:spacing w:line="360" w:lineRule="auto"/>
        <w:ind w:firstLine="450"/>
        <w:rPr>
          <w:rFonts w:hint="default"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2</w:t>
      </w:r>
      <w:r>
        <w:rPr>
          <w:rFonts w:hint="default" w:ascii="楷体_GB2312" w:hAnsi="楷体_GB2312" w:eastAsia="楷体_GB2312" w:cs="楷体_GB2312"/>
          <w:color w:val="auto"/>
          <w:sz w:val="28"/>
          <w:szCs w:val="28"/>
          <w:highlight w:val="none"/>
          <w:lang w:val="en-US" w:eastAsia="en-US"/>
        </w:rPr>
        <w:t>、</w:t>
      </w:r>
      <w:r>
        <w:rPr>
          <w:rFonts w:hint="eastAsia" w:ascii="楷体_GB2312" w:hAnsi="楷体_GB2312" w:eastAsia="楷体_GB2312" w:cs="楷体_GB2312"/>
          <w:color w:val="auto"/>
          <w:sz w:val="28"/>
          <w:szCs w:val="28"/>
          <w:highlight w:val="none"/>
          <w:lang w:val="en-US" w:eastAsia="en-US"/>
        </w:rPr>
        <w:t>因提交虚假资料而产生的一切后果由</w:t>
      </w:r>
      <w:r>
        <w:rPr>
          <w:rFonts w:hint="eastAsia" w:ascii="楷体_GB2312" w:hAnsi="楷体_GB2312" w:eastAsia="楷体_GB2312" w:cs="楷体_GB2312"/>
          <w:color w:val="auto"/>
          <w:sz w:val="28"/>
          <w:szCs w:val="28"/>
          <w:highlight w:val="none"/>
          <w:lang w:val="en-US" w:eastAsia="zh-CN"/>
        </w:rPr>
        <w:t>竞谈</w:t>
      </w:r>
      <w:r>
        <w:rPr>
          <w:rFonts w:hint="eastAsia" w:ascii="楷体_GB2312" w:hAnsi="楷体_GB2312" w:eastAsia="楷体_GB2312" w:cs="楷体_GB2312"/>
          <w:color w:val="auto"/>
          <w:sz w:val="28"/>
          <w:szCs w:val="28"/>
          <w:highlight w:val="none"/>
          <w:lang w:val="en-US" w:eastAsia="en-US"/>
        </w:rPr>
        <w:t>人自行承担。</w:t>
      </w:r>
      <w:r>
        <w:rPr>
          <w:rFonts w:hint="eastAsia" w:ascii="楷体_GB2312" w:hAnsi="楷体_GB2312" w:eastAsia="楷体_GB2312" w:cs="楷体_GB2312"/>
          <w:color w:val="auto"/>
          <w:sz w:val="28"/>
          <w:szCs w:val="28"/>
          <w:highlight w:val="none"/>
          <w:lang w:val="en-US" w:eastAsia="zh-CN"/>
        </w:rPr>
        <w:t>竞谈</w:t>
      </w:r>
      <w:r>
        <w:rPr>
          <w:rFonts w:hint="eastAsia" w:ascii="楷体_GB2312" w:hAnsi="楷体_GB2312" w:eastAsia="楷体_GB2312" w:cs="楷体_GB2312"/>
          <w:color w:val="auto"/>
          <w:sz w:val="28"/>
          <w:szCs w:val="28"/>
          <w:highlight w:val="none"/>
          <w:lang w:val="en-US" w:eastAsia="en-US"/>
        </w:rPr>
        <w:t>报名不代表资格审查的最终通过或合格。</w:t>
      </w:r>
    </w:p>
    <w:p w14:paraId="415E5941">
      <w:pPr>
        <w:keepNext w:val="0"/>
        <w:keepLines w:val="0"/>
        <w:pageBreakBefore w:val="0"/>
        <w:widowControl w:val="0"/>
        <w:wordWrap/>
        <w:overflowPunct/>
        <w:topLinePunct w:val="0"/>
        <w:autoSpaceDE w:val="0"/>
        <w:autoSpaceDN w:val="0"/>
        <w:bidi w:val="0"/>
        <w:adjustRightInd w:val="0"/>
        <w:spacing w:line="360" w:lineRule="auto"/>
        <w:ind w:firstLine="450"/>
        <w:rPr>
          <w:rFonts w:hint="eastAsia" w:ascii="楷体_GB2312" w:hAnsi="楷体_GB2312" w:eastAsia="楷体_GB2312" w:cs="楷体_GB2312"/>
          <w:b/>
          <w:bCs/>
          <w:color w:val="auto"/>
          <w:sz w:val="28"/>
          <w:szCs w:val="28"/>
          <w:highlight w:val="none"/>
          <w:lang w:val="en-US" w:eastAsia="en-US"/>
        </w:rPr>
      </w:pPr>
      <w:r>
        <w:rPr>
          <w:rFonts w:hint="eastAsia" w:ascii="楷体_GB2312" w:hAnsi="楷体_GB2312" w:eastAsia="楷体_GB2312" w:cs="楷体_GB2312"/>
          <w:b/>
          <w:bCs/>
          <w:color w:val="auto"/>
          <w:sz w:val="28"/>
          <w:szCs w:val="28"/>
          <w:highlight w:val="none"/>
          <w:lang w:val="en-US" w:eastAsia="zh-CN"/>
        </w:rPr>
        <w:t>3</w:t>
      </w:r>
      <w:r>
        <w:rPr>
          <w:rFonts w:hint="default" w:ascii="楷体_GB2312" w:hAnsi="楷体_GB2312" w:eastAsia="楷体_GB2312" w:cs="楷体_GB2312"/>
          <w:b/>
          <w:bCs/>
          <w:color w:val="auto"/>
          <w:sz w:val="28"/>
          <w:szCs w:val="28"/>
          <w:highlight w:val="none"/>
          <w:lang w:val="en-US" w:eastAsia="en-US"/>
        </w:rPr>
        <w:t>、重要说明：参与项目</w:t>
      </w:r>
      <w:r>
        <w:rPr>
          <w:rFonts w:hint="eastAsia" w:ascii="楷体_GB2312" w:hAnsi="楷体_GB2312" w:eastAsia="楷体_GB2312" w:cs="楷体_GB2312"/>
          <w:b/>
          <w:bCs/>
          <w:color w:val="auto"/>
          <w:sz w:val="28"/>
          <w:szCs w:val="28"/>
          <w:highlight w:val="none"/>
          <w:lang w:val="en-US" w:eastAsia="zh-CN"/>
        </w:rPr>
        <w:t>竞谈</w:t>
      </w:r>
      <w:r>
        <w:rPr>
          <w:rFonts w:hint="default" w:ascii="楷体_GB2312" w:hAnsi="楷体_GB2312" w:eastAsia="楷体_GB2312" w:cs="楷体_GB2312"/>
          <w:b/>
          <w:bCs/>
          <w:color w:val="auto"/>
          <w:sz w:val="28"/>
          <w:szCs w:val="28"/>
          <w:highlight w:val="none"/>
          <w:lang w:val="en-US" w:eastAsia="en-US"/>
        </w:rPr>
        <w:t>的</w:t>
      </w:r>
      <w:r>
        <w:rPr>
          <w:rFonts w:hint="eastAsia" w:ascii="楷体_GB2312" w:hAnsi="楷体_GB2312" w:eastAsia="楷体_GB2312" w:cs="楷体_GB2312"/>
          <w:b/>
          <w:bCs/>
          <w:color w:val="auto"/>
          <w:sz w:val="28"/>
          <w:szCs w:val="28"/>
          <w:highlight w:val="none"/>
          <w:lang w:val="en-US" w:eastAsia="en-US"/>
        </w:rPr>
        <w:t>供应商必须在</w:t>
      </w:r>
      <w:r>
        <w:rPr>
          <w:rFonts w:hint="eastAsia" w:ascii="楷体_GB2312" w:hAnsi="楷体_GB2312" w:eastAsia="楷体_GB2312" w:cs="楷体_GB2312"/>
          <w:b/>
          <w:bCs/>
          <w:color w:val="auto"/>
          <w:sz w:val="28"/>
          <w:szCs w:val="28"/>
          <w:highlight w:val="none"/>
          <w:lang w:val="en-US" w:eastAsia="zh-CN"/>
        </w:rPr>
        <w:t>德达交建集团（http://wx.dedajiaojian.com:8067/）</w:t>
      </w:r>
      <w:r>
        <w:rPr>
          <w:rFonts w:hint="eastAsia" w:ascii="楷体_GB2312" w:hAnsi="楷体_GB2312" w:eastAsia="楷体_GB2312" w:cs="楷体_GB2312"/>
          <w:b/>
          <w:bCs/>
          <w:color w:val="auto"/>
          <w:sz w:val="28"/>
          <w:szCs w:val="28"/>
          <w:highlight w:val="none"/>
          <w:lang w:val="en-US" w:eastAsia="en-US"/>
        </w:rPr>
        <w:t>办理供应商入库，否则招标人有权拒绝其参与投标。</w:t>
      </w:r>
    </w:p>
    <w:p w14:paraId="61AE9E2C">
      <w:pPr>
        <w:keepNext w:val="0"/>
        <w:keepLines w:val="0"/>
        <w:pageBreakBefore w:val="0"/>
        <w:widowControl w:val="0"/>
        <w:wordWrap/>
        <w:overflowPunct/>
        <w:topLinePunct w:val="0"/>
        <w:autoSpaceDE w:val="0"/>
        <w:autoSpaceDN w:val="0"/>
        <w:bidi w:val="0"/>
        <w:adjustRightInd w:val="0"/>
        <w:spacing w:line="360" w:lineRule="auto"/>
        <w:ind w:firstLine="450"/>
        <w:rPr>
          <w:rFonts w:hint="eastAsia" w:ascii="楷体_GB2312" w:hAnsi="楷体_GB2312" w:eastAsia="楷体_GB2312" w:cs="楷体_GB2312"/>
          <w:b/>
          <w:bCs/>
          <w:color w:val="auto"/>
          <w:sz w:val="28"/>
          <w:szCs w:val="28"/>
          <w:highlight w:val="none"/>
          <w:lang w:val="en-US" w:eastAsia="en-US"/>
        </w:rPr>
      </w:pPr>
      <w:r>
        <w:rPr>
          <w:rFonts w:hint="eastAsia" w:ascii="楷体_GB2312" w:hAnsi="楷体_GB2312" w:eastAsia="楷体_GB2312" w:cs="楷体_GB2312"/>
          <w:b/>
          <w:bCs/>
          <w:color w:val="auto"/>
          <w:sz w:val="28"/>
          <w:szCs w:val="28"/>
          <w:highlight w:val="none"/>
          <w:lang w:val="en-US" w:eastAsia="zh-CN"/>
        </w:rPr>
        <w:t>4、在本次报名中优先考虑2024年度德达交建集团合格供方优秀单位。</w:t>
      </w:r>
    </w:p>
    <w:p w14:paraId="332B8F6C">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八、竞谈时间、方式：</w:t>
      </w:r>
    </w:p>
    <w:p w14:paraId="3AAD52DD">
      <w:pPr>
        <w:keepNext w:val="0"/>
        <w:keepLines w:val="0"/>
        <w:pageBreakBefore w:val="0"/>
        <w:widowControl w:val="0"/>
        <w:wordWrap/>
        <w:overflowPunct/>
        <w:topLinePunct w:val="0"/>
        <w:autoSpaceDE w:val="0"/>
        <w:autoSpaceDN w:val="0"/>
        <w:bidi w:val="0"/>
        <w:adjustRightInd w:val="0"/>
        <w:spacing w:line="360" w:lineRule="auto"/>
        <w:ind w:firstLine="450"/>
        <w:rPr>
          <w:rFonts w:hint="default" w:ascii="楷体_GB2312" w:hAnsi="楷体_GB2312" w:eastAsia="楷体_GB2312" w:cs="楷体_GB2312"/>
          <w:color w:val="auto"/>
          <w:sz w:val="28"/>
          <w:szCs w:val="28"/>
          <w:highlight w:val="yellow"/>
          <w:lang w:val="en-US" w:eastAsia="zh-CN"/>
        </w:rPr>
      </w:pPr>
      <w:r>
        <w:rPr>
          <w:rFonts w:hint="eastAsia" w:ascii="楷体_GB2312" w:hAnsi="楷体_GB2312" w:eastAsia="楷体_GB2312" w:cs="楷体_GB2312"/>
          <w:color w:val="auto"/>
          <w:sz w:val="28"/>
          <w:szCs w:val="28"/>
          <w:highlight w:val="yellow"/>
          <w:lang w:val="en-US" w:eastAsia="zh-CN"/>
        </w:rPr>
        <w:t>（</w:t>
      </w:r>
      <w:r>
        <w:rPr>
          <w:rFonts w:hint="default" w:ascii="楷体_GB2312" w:hAnsi="楷体_GB2312" w:eastAsia="楷体_GB2312" w:cs="楷体_GB2312"/>
          <w:color w:val="auto"/>
          <w:sz w:val="28"/>
          <w:szCs w:val="28"/>
          <w:highlight w:val="yellow"/>
          <w:lang w:val="en-US" w:eastAsia="zh-CN"/>
        </w:rPr>
        <w:t>1）</w:t>
      </w:r>
      <w:r>
        <w:rPr>
          <w:rFonts w:hint="eastAsia" w:ascii="楷体_GB2312" w:hAnsi="楷体_GB2312" w:eastAsia="楷体_GB2312" w:cs="楷体_GB2312"/>
          <w:color w:val="auto"/>
          <w:sz w:val="28"/>
          <w:szCs w:val="28"/>
          <w:highlight w:val="yellow"/>
          <w:lang w:val="en-US" w:eastAsia="zh-CN"/>
        </w:rPr>
        <w:t>报名</w:t>
      </w:r>
      <w:r>
        <w:rPr>
          <w:rFonts w:hint="default" w:ascii="楷体_GB2312" w:hAnsi="楷体_GB2312" w:eastAsia="楷体_GB2312" w:cs="楷体_GB2312"/>
          <w:color w:val="auto"/>
          <w:sz w:val="28"/>
          <w:szCs w:val="28"/>
          <w:highlight w:val="yellow"/>
          <w:lang w:val="en-US" w:eastAsia="zh-CN"/>
        </w:rPr>
        <w:t>时间：</w:t>
      </w:r>
      <w:r>
        <w:rPr>
          <w:rFonts w:hint="eastAsia" w:ascii="楷体_GB2312" w:hAnsi="楷体_GB2312" w:eastAsia="楷体_GB2312" w:cs="楷体_GB2312"/>
          <w:color w:val="auto"/>
          <w:sz w:val="28"/>
          <w:szCs w:val="28"/>
          <w:highlight w:val="yellow"/>
          <w:lang w:val="en-US" w:eastAsia="zh-CN"/>
        </w:rPr>
        <w:t>2025年7月25</w:t>
      </w:r>
      <w:r>
        <w:rPr>
          <w:rFonts w:hint="default" w:ascii="楷体_GB2312" w:hAnsi="楷体_GB2312" w:eastAsia="楷体_GB2312" w:cs="楷体_GB2312"/>
          <w:color w:val="auto"/>
          <w:sz w:val="28"/>
          <w:szCs w:val="28"/>
          <w:highlight w:val="yellow"/>
          <w:lang w:val="en-US" w:eastAsia="zh-CN"/>
        </w:rPr>
        <w:t>日</w:t>
      </w:r>
      <w:r>
        <w:rPr>
          <w:rFonts w:hint="eastAsia" w:ascii="楷体_GB2312" w:hAnsi="楷体_GB2312" w:eastAsia="楷体_GB2312" w:cs="楷体_GB2312"/>
          <w:color w:val="auto"/>
          <w:sz w:val="28"/>
          <w:szCs w:val="28"/>
          <w:highlight w:val="yellow"/>
          <w:lang w:val="en-US" w:eastAsia="zh-CN"/>
        </w:rPr>
        <w:t>8</w:t>
      </w:r>
      <w:r>
        <w:rPr>
          <w:rFonts w:hint="default" w:ascii="楷体_GB2312" w:hAnsi="楷体_GB2312" w:eastAsia="楷体_GB2312" w:cs="楷体_GB2312"/>
          <w:color w:val="auto"/>
          <w:sz w:val="28"/>
          <w:szCs w:val="28"/>
          <w:highlight w:val="yellow"/>
          <w:lang w:val="en-US" w:eastAsia="zh-CN"/>
        </w:rPr>
        <w:t>时</w:t>
      </w:r>
      <w:r>
        <w:rPr>
          <w:rFonts w:hint="eastAsia" w:ascii="楷体_GB2312" w:hAnsi="楷体_GB2312" w:eastAsia="楷体_GB2312" w:cs="楷体_GB2312"/>
          <w:color w:val="auto"/>
          <w:sz w:val="28"/>
          <w:szCs w:val="28"/>
          <w:highlight w:val="yellow"/>
          <w:lang w:val="en-US" w:eastAsia="zh-CN"/>
        </w:rPr>
        <w:t>30</w:t>
      </w:r>
      <w:r>
        <w:rPr>
          <w:rFonts w:hint="default" w:ascii="楷体_GB2312" w:hAnsi="楷体_GB2312" w:eastAsia="楷体_GB2312" w:cs="楷体_GB2312"/>
          <w:color w:val="auto"/>
          <w:sz w:val="28"/>
          <w:szCs w:val="28"/>
          <w:highlight w:val="yellow"/>
          <w:lang w:val="en-US" w:eastAsia="zh-CN"/>
        </w:rPr>
        <w:t>分</w:t>
      </w:r>
      <w:r>
        <w:rPr>
          <w:rFonts w:hint="eastAsia" w:ascii="楷体_GB2312" w:hAnsi="楷体_GB2312" w:eastAsia="楷体_GB2312" w:cs="楷体_GB2312"/>
          <w:color w:val="auto"/>
          <w:sz w:val="28"/>
          <w:szCs w:val="28"/>
          <w:highlight w:val="yellow"/>
          <w:lang w:val="en-US" w:eastAsia="zh-CN"/>
        </w:rPr>
        <w:t>-2025年7月28</w:t>
      </w:r>
      <w:r>
        <w:rPr>
          <w:rFonts w:hint="default" w:ascii="楷体_GB2312" w:hAnsi="楷体_GB2312" w:eastAsia="楷体_GB2312" w:cs="楷体_GB2312"/>
          <w:color w:val="auto"/>
          <w:sz w:val="28"/>
          <w:szCs w:val="28"/>
          <w:highlight w:val="yellow"/>
          <w:lang w:val="en-US" w:eastAsia="zh-CN"/>
        </w:rPr>
        <w:t>日</w:t>
      </w:r>
      <w:r>
        <w:rPr>
          <w:rFonts w:hint="eastAsia" w:ascii="楷体_GB2312" w:hAnsi="楷体_GB2312" w:eastAsia="楷体_GB2312" w:cs="楷体_GB2312"/>
          <w:color w:val="auto"/>
          <w:sz w:val="28"/>
          <w:szCs w:val="28"/>
          <w:highlight w:val="yellow"/>
          <w:lang w:val="en-US" w:eastAsia="zh-CN"/>
        </w:rPr>
        <w:t>15</w:t>
      </w:r>
      <w:r>
        <w:rPr>
          <w:rFonts w:hint="default" w:ascii="楷体_GB2312" w:hAnsi="楷体_GB2312" w:eastAsia="楷体_GB2312" w:cs="楷体_GB2312"/>
          <w:color w:val="auto"/>
          <w:sz w:val="28"/>
          <w:szCs w:val="28"/>
          <w:highlight w:val="yellow"/>
          <w:lang w:val="en-US" w:eastAsia="zh-CN"/>
        </w:rPr>
        <w:t>时</w:t>
      </w:r>
      <w:r>
        <w:rPr>
          <w:rFonts w:hint="eastAsia" w:ascii="楷体_GB2312" w:hAnsi="楷体_GB2312" w:eastAsia="楷体_GB2312" w:cs="楷体_GB2312"/>
          <w:color w:val="auto"/>
          <w:sz w:val="28"/>
          <w:szCs w:val="28"/>
          <w:highlight w:val="yellow"/>
          <w:lang w:val="en-US" w:eastAsia="zh-CN"/>
        </w:rPr>
        <w:t>30</w:t>
      </w:r>
      <w:r>
        <w:rPr>
          <w:rFonts w:hint="default" w:ascii="楷体_GB2312" w:hAnsi="楷体_GB2312" w:eastAsia="楷体_GB2312" w:cs="楷体_GB2312"/>
          <w:color w:val="auto"/>
          <w:sz w:val="28"/>
          <w:szCs w:val="28"/>
          <w:highlight w:val="yellow"/>
          <w:lang w:val="en-US" w:eastAsia="zh-CN"/>
        </w:rPr>
        <w:t>分（北京时间）；</w:t>
      </w:r>
    </w:p>
    <w:p w14:paraId="6C2569B2">
      <w:pPr>
        <w:keepNext w:val="0"/>
        <w:keepLines w:val="0"/>
        <w:pageBreakBefore w:val="0"/>
        <w:widowControl w:val="0"/>
        <w:wordWrap/>
        <w:overflowPunct/>
        <w:topLinePunct w:val="0"/>
        <w:autoSpaceDE w:val="0"/>
        <w:autoSpaceDN w:val="0"/>
        <w:bidi w:val="0"/>
        <w:adjustRightInd w:val="0"/>
        <w:spacing w:line="360" w:lineRule="auto"/>
        <w:ind w:firstLine="450"/>
        <w:rPr>
          <w:rFonts w:hint="eastAsia" w:ascii="楷体_GB2312" w:hAnsi="楷体_GB2312" w:eastAsia="楷体_GB2312" w:cs="楷体_GB2312"/>
          <w:color w:val="auto"/>
          <w:sz w:val="28"/>
          <w:szCs w:val="28"/>
          <w:highlight w:val="yellow"/>
          <w:lang w:val="en-US" w:eastAsia="zh-CN"/>
        </w:rPr>
      </w:pPr>
      <w:r>
        <w:rPr>
          <w:rFonts w:hint="eastAsia" w:ascii="楷体_GB2312" w:hAnsi="楷体_GB2312" w:eastAsia="楷体_GB2312" w:cs="楷体_GB2312"/>
          <w:color w:val="auto"/>
          <w:sz w:val="28"/>
          <w:szCs w:val="28"/>
          <w:highlight w:val="yellow"/>
          <w:lang w:val="en-US" w:eastAsia="zh-CN"/>
        </w:rPr>
        <w:t>（2）报名地点：德达交建集团德沃办公室三楼会议室；</w:t>
      </w:r>
    </w:p>
    <w:p w14:paraId="6E7620E4">
      <w:pPr>
        <w:keepNext w:val="0"/>
        <w:keepLines w:val="0"/>
        <w:pageBreakBefore w:val="0"/>
        <w:widowControl w:val="0"/>
        <w:wordWrap/>
        <w:overflowPunct/>
        <w:topLinePunct w:val="0"/>
        <w:autoSpaceDE w:val="0"/>
        <w:autoSpaceDN w:val="0"/>
        <w:bidi w:val="0"/>
        <w:adjustRightInd w:val="0"/>
        <w:spacing w:line="360" w:lineRule="auto"/>
        <w:ind w:firstLine="450"/>
        <w:rPr>
          <w:rFonts w:hint="default" w:ascii="楷体_GB2312" w:hAnsi="楷体_GB2312" w:eastAsia="楷体_GB2312" w:cs="楷体_GB2312"/>
          <w:color w:val="auto"/>
          <w:sz w:val="28"/>
          <w:szCs w:val="28"/>
          <w:highlight w:val="yellow"/>
          <w:lang w:val="en-US" w:eastAsia="zh-CN"/>
        </w:rPr>
      </w:pPr>
      <w:r>
        <w:rPr>
          <w:rFonts w:hint="eastAsia" w:ascii="楷体_GB2312" w:hAnsi="楷体_GB2312" w:eastAsia="楷体_GB2312" w:cs="楷体_GB2312"/>
          <w:color w:val="auto"/>
          <w:sz w:val="28"/>
          <w:szCs w:val="28"/>
          <w:highlight w:val="yellow"/>
          <w:lang w:val="en-US" w:eastAsia="zh-CN"/>
        </w:rPr>
        <w:t>（3</w:t>
      </w:r>
      <w:r>
        <w:rPr>
          <w:rFonts w:hint="default" w:ascii="楷体_GB2312" w:hAnsi="楷体_GB2312" w:eastAsia="楷体_GB2312" w:cs="楷体_GB2312"/>
          <w:color w:val="auto"/>
          <w:sz w:val="28"/>
          <w:szCs w:val="28"/>
          <w:highlight w:val="yellow"/>
          <w:lang w:val="en-US" w:eastAsia="zh-CN"/>
        </w:rPr>
        <w:t>）</w:t>
      </w:r>
      <w:r>
        <w:rPr>
          <w:rFonts w:hint="eastAsia" w:ascii="楷体_GB2312" w:hAnsi="楷体_GB2312" w:eastAsia="楷体_GB2312" w:cs="楷体_GB2312"/>
          <w:color w:val="auto"/>
          <w:sz w:val="28"/>
          <w:szCs w:val="28"/>
          <w:highlight w:val="yellow"/>
          <w:lang w:val="en-US" w:eastAsia="zh-CN"/>
        </w:rPr>
        <w:t>竞谈</w:t>
      </w:r>
      <w:r>
        <w:rPr>
          <w:rFonts w:hint="default" w:ascii="楷体_GB2312" w:hAnsi="楷体_GB2312" w:eastAsia="楷体_GB2312" w:cs="楷体_GB2312"/>
          <w:color w:val="auto"/>
          <w:sz w:val="28"/>
          <w:szCs w:val="28"/>
          <w:highlight w:val="yellow"/>
          <w:lang w:val="en-US" w:eastAsia="zh-CN"/>
        </w:rPr>
        <w:t>时间：</w:t>
      </w:r>
      <w:r>
        <w:rPr>
          <w:rFonts w:hint="eastAsia" w:ascii="楷体_GB2312" w:hAnsi="楷体_GB2312" w:eastAsia="楷体_GB2312" w:cs="楷体_GB2312"/>
          <w:color w:val="auto"/>
          <w:sz w:val="28"/>
          <w:szCs w:val="28"/>
          <w:highlight w:val="yellow"/>
          <w:lang w:val="en-US" w:eastAsia="zh-CN"/>
        </w:rPr>
        <w:t>2025年7月28</w:t>
      </w:r>
      <w:r>
        <w:rPr>
          <w:rFonts w:hint="default" w:ascii="楷体_GB2312" w:hAnsi="楷体_GB2312" w:eastAsia="楷体_GB2312" w:cs="楷体_GB2312"/>
          <w:color w:val="auto"/>
          <w:sz w:val="28"/>
          <w:szCs w:val="28"/>
          <w:highlight w:val="yellow"/>
          <w:lang w:val="en-US" w:eastAsia="zh-CN"/>
        </w:rPr>
        <w:t>日</w:t>
      </w:r>
      <w:r>
        <w:rPr>
          <w:rFonts w:hint="eastAsia" w:ascii="楷体_GB2312" w:hAnsi="楷体_GB2312" w:eastAsia="楷体_GB2312" w:cs="楷体_GB2312"/>
          <w:color w:val="auto"/>
          <w:sz w:val="28"/>
          <w:szCs w:val="28"/>
          <w:highlight w:val="yellow"/>
          <w:lang w:val="en-US" w:eastAsia="zh-CN"/>
        </w:rPr>
        <w:t>15</w:t>
      </w:r>
      <w:r>
        <w:rPr>
          <w:rFonts w:hint="default" w:ascii="楷体_GB2312" w:hAnsi="楷体_GB2312" w:eastAsia="楷体_GB2312" w:cs="楷体_GB2312"/>
          <w:color w:val="auto"/>
          <w:sz w:val="28"/>
          <w:szCs w:val="28"/>
          <w:highlight w:val="yellow"/>
          <w:lang w:val="en-US" w:eastAsia="zh-CN"/>
        </w:rPr>
        <w:t>时</w:t>
      </w:r>
      <w:r>
        <w:rPr>
          <w:rFonts w:hint="eastAsia" w:ascii="楷体_GB2312" w:hAnsi="楷体_GB2312" w:eastAsia="楷体_GB2312" w:cs="楷体_GB2312"/>
          <w:color w:val="auto"/>
          <w:sz w:val="28"/>
          <w:szCs w:val="28"/>
          <w:highlight w:val="yellow"/>
          <w:lang w:val="en-US" w:eastAsia="zh-CN"/>
        </w:rPr>
        <w:t>30</w:t>
      </w:r>
      <w:r>
        <w:rPr>
          <w:rFonts w:hint="default" w:ascii="楷体_GB2312" w:hAnsi="楷体_GB2312" w:eastAsia="楷体_GB2312" w:cs="楷体_GB2312"/>
          <w:color w:val="auto"/>
          <w:sz w:val="28"/>
          <w:szCs w:val="28"/>
          <w:highlight w:val="yellow"/>
          <w:lang w:val="en-US" w:eastAsia="zh-CN"/>
        </w:rPr>
        <w:t>分（北京时间）；</w:t>
      </w:r>
    </w:p>
    <w:p w14:paraId="35D8B7D6">
      <w:pPr>
        <w:keepNext w:val="0"/>
        <w:keepLines w:val="0"/>
        <w:pageBreakBefore w:val="0"/>
        <w:widowControl w:val="0"/>
        <w:wordWrap/>
        <w:overflowPunct/>
        <w:topLinePunct w:val="0"/>
        <w:autoSpaceDE w:val="0"/>
        <w:autoSpaceDN w:val="0"/>
        <w:bidi w:val="0"/>
        <w:adjustRightInd w:val="0"/>
        <w:spacing w:line="360" w:lineRule="auto"/>
        <w:ind w:firstLine="450"/>
        <w:rPr>
          <w:rFonts w:hint="default" w:ascii="楷体_GB2312" w:hAnsi="楷体_GB2312" w:eastAsia="楷体_GB2312" w:cs="楷体_GB2312"/>
          <w:color w:val="auto"/>
          <w:sz w:val="28"/>
          <w:szCs w:val="28"/>
          <w:highlight w:val="yellow"/>
          <w:lang w:val="en-US" w:eastAsia="zh-CN"/>
        </w:rPr>
      </w:pPr>
      <w:r>
        <w:rPr>
          <w:rFonts w:hint="eastAsia" w:ascii="楷体_GB2312" w:hAnsi="楷体_GB2312" w:eastAsia="楷体_GB2312" w:cs="楷体_GB2312"/>
          <w:color w:val="auto"/>
          <w:sz w:val="28"/>
          <w:szCs w:val="28"/>
          <w:highlight w:val="yellow"/>
          <w:lang w:val="en-US" w:eastAsia="zh-CN"/>
        </w:rPr>
        <w:t>（4</w:t>
      </w:r>
      <w:r>
        <w:rPr>
          <w:rFonts w:hint="default" w:ascii="楷体_GB2312" w:hAnsi="楷体_GB2312" w:eastAsia="楷体_GB2312" w:cs="楷体_GB2312"/>
          <w:color w:val="auto"/>
          <w:sz w:val="28"/>
          <w:szCs w:val="28"/>
          <w:highlight w:val="yellow"/>
          <w:lang w:val="en-US" w:eastAsia="zh-CN"/>
        </w:rPr>
        <w:t>）</w:t>
      </w:r>
      <w:r>
        <w:rPr>
          <w:rFonts w:hint="eastAsia" w:ascii="楷体_GB2312" w:hAnsi="楷体_GB2312" w:eastAsia="楷体_GB2312" w:cs="楷体_GB2312"/>
          <w:color w:val="auto"/>
          <w:sz w:val="28"/>
          <w:szCs w:val="28"/>
          <w:highlight w:val="yellow"/>
          <w:lang w:val="en-US" w:eastAsia="zh-CN"/>
        </w:rPr>
        <w:t>竞谈</w:t>
      </w:r>
      <w:r>
        <w:rPr>
          <w:rFonts w:hint="default" w:ascii="楷体_GB2312" w:hAnsi="楷体_GB2312" w:eastAsia="楷体_GB2312" w:cs="楷体_GB2312"/>
          <w:color w:val="auto"/>
          <w:sz w:val="28"/>
          <w:szCs w:val="28"/>
          <w:highlight w:val="yellow"/>
          <w:lang w:val="en-US" w:eastAsia="zh-CN"/>
        </w:rPr>
        <w:t>地点：</w:t>
      </w:r>
      <w:r>
        <w:rPr>
          <w:rFonts w:hint="eastAsia" w:ascii="楷体_GB2312" w:hAnsi="楷体_GB2312" w:eastAsia="楷体_GB2312" w:cs="楷体_GB2312"/>
          <w:color w:val="auto"/>
          <w:sz w:val="28"/>
          <w:szCs w:val="28"/>
          <w:highlight w:val="yellow"/>
          <w:lang w:val="en-US" w:eastAsia="zh-CN"/>
        </w:rPr>
        <w:t>德达交建集团德沃办公室三楼会议室</w:t>
      </w:r>
      <w:r>
        <w:rPr>
          <w:rFonts w:hint="default" w:ascii="楷体_GB2312" w:hAnsi="楷体_GB2312" w:eastAsia="楷体_GB2312" w:cs="楷体_GB2312"/>
          <w:color w:val="auto"/>
          <w:sz w:val="28"/>
          <w:szCs w:val="28"/>
          <w:highlight w:val="yellow"/>
          <w:lang w:val="en-US" w:eastAsia="zh-CN"/>
        </w:rPr>
        <w:t>；</w:t>
      </w:r>
    </w:p>
    <w:p w14:paraId="1F440749">
      <w:pPr>
        <w:keepNext w:val="0"/>
        <w:keepLines w:val="0"/>
        <w:pageBreakBefore w:val="0"/>
        <w:widowControl w:val="0"/>
        <w:wordWrap/>
        <w:overflowPunct/>
        <w:topLinePunct w:val="0"/>
        <w:autoSpaceDE w:val="0"/>
        <w:autoSpaceDN w:val="0"/>
        <w:bidi w:val="0"/>
        <w:adjustRightInd w:val="0"/>
        <w:spacing w:line="360" w:lineRule="auto"/>
        <w:ind w:firstLine="450"/>
        <w:rPr>
          <w:rFonts w:hint="default" w:ascii="楷体_GB2312" w:hAnsi="楷体_GB2312" w:eastAsia="楷体_GB2312" w:cs="楷体_GB2312"/>
          <w:color w:val="auto"/>
          <w:sz w:val="28"/>
          <w:szCs w:val="28"/>
          <w:highlight w:val="yellow"/>
          <w:lang w:val="en-US" w:eastAsia="zh-CN"/>
        </w:rPr>
      </w:pPr>
      <w:r>
        <w:rPr>
          <w:rFonts w:hint="eastAsia" w:ascii="楷体_GB2312" w:hAnsi="楷体_GB2312" w:eastAsia="楷体_GB2312" w:cs="楷体_GB2312"/>
          <w:color w:val="auto"/>
          <w:sz w:val="28"/>
          <w:szCs w:val="28"/>
          <w:highlight w:val="yellow"/>
          <w:lang w:val="en-US" w:eastAsia="zh-CN"/>
        </w:rPr>
        <w:t>（5</w:t>
      </w:r>
      <w:r>
        <w:rPr>
          <w:rFonts w:hint="default" w:ascii="楷体_GB2312" w:hAnsi="楷体_GB2312" w:eastAsia="楷体_GB2312" w:cs="楷体_GB2312"/>
          <w:color w:val="auto"/>
          <w:sz w:val="28"/>
          <w:szCs w:val="28"/>
          <w:highlight w:val="yellow"/>
          <w:lang w:val="en-US" w:eastAsia="zh-CN"/>
        </w:rPr>
        <w:t>）</w:t>
      </w:r>
      <w:r>
        <w:rPr>
          <w:rFonts w:hint="eastAsia" w:ascii="楷体_GB2312" w:hAnsi="楷体_GB2312" w:eastAsia="楷体_GB2312" w:cs="楷体_GB2312"/>
          <w:color w:val="auto"/>
          <w:sz w:val="28"/>
          <w:szCs w:val="28"/>
          <w:highlight w:val="yellow"/>
          <w:lang w:val="en-US" w:eastAsia="zh-CN"/>
        </w:rPr>
        <w:t>竞谈</w:t>
      </w:r>
      <w:r>
        <w:rPr>
          <w:rFonts w:hint="default" w:ascii="楷体_GB2312" w:hAnsi="楷体_GB2312" w:eastAsia="楷体_GB2312" w:cs="楷体_GB2312"/>
          <w:color w:val="auto"/>
          <w:sz w:val="28"/>
          <w:szCs w:val="28"/>
          <w:highlight w:val="yellow"/>
          <w:lang w:val="en-US" w:eastAsia="zh-CN"/>
        </w:rPr>
        <w:t>方式：</w:t>
      </w:r>
      <w:r>
        <w:rPr>
          <w:rFonts w:hint="eastAsia" w:ascii="楷体_GB2312" w:hAnsi="楷体_GB2312" w:eastAsia="楷体_GB2312" w:cs="楷体_GB2312"/>
          <w:color w:val="auto"/>
          <w:sz w:val="28"/>
          <w:szCs w:val="28"/>
          <w:highlight w:val="yellow"/>
          <w:lang w:val="en-US" w:eastAsia="zh-CN"/>
        </w:rPr>
        <w:t>现场竞谈</w:t>
      </w:r>
      <w:r>
        <w:rPr>
          <w:rFonts w:hint="default" w:ascii="楷体_GB2312" w:hAnsi="楷体_GB2312" w:eastAsia="楷体_GB2312" w:cs="楷体_GB2312"/>
          <w:color w:val="auto"/>
          <w:sz w:val="28"/>
          <w:szCs w:val="28"/>
          <w:highlight w:val="yellow"/>
          <w:lang w:val="en-US" w:eastAsia="zh-CN"/>
        </w:rPr>
        <w:t>。</w:t>
      </w:r>
    </w:p>
    <w:p w14:paraId="67589BB7">
      <w:pPr>
        <w:keepNext w:val="0"/>
        <w:keepLines w:val="0"/>
        <w:pageBreakBefore w:val="0"/>
        <w:widowControl w:val="0"/>
        <w:wordWrap/>
        <w:overflowPunct/>
        <w:topLinePunct w:val="0"/>
        <w:autoSpaceDE w:val="0"/>
        <w:autoSpaceDN w:val="0"/>
        <w:bidi w:val="0"/>
        <w:adjustRightInd w:val="0"/>
        <w:spacing w:line="360" w:lineRule="auto"/>
        <w:ind w:firstLine="450"/>
        <w:rPr>
          <w:rFonts w:hint="default" w:ascii="楷体_GB2312" w:hAnsi="楷体_GB2312" w:eastAsia="楷体_GB2312" w:cs="楷体_GB2312"/>
          <w:color w:val="auto"/>
          <w:sz w:val="28"/>
          <w:szCs w:val="28"/>
          <w:highlight w:val="yellow"/>
          <w:lang w:val="en-US" w:eastAsia="zh-CN"/>
        </w:rPr>
      </w:pPr>
      <w:r>
        <w:rPr>
          <w:rFonts w:hint="eastAsia" w:ascii="楷体_GB2312" w:hAnsi="楷体_GB2312" w:eastAsia="楷体_GB2312" w:cs="楷体_GB2312"/>
          <w:color w:val="auto"/>
          <w:sz w:val="28"/>
          <w:szCs w:val="28"/>
          <w:highlight w:val="yellow"/>
          <w:lang w:val="en-US" w:eastAsia="zh-CN"/>
        </w:rPr>
        <w:t>（6</w:t>
      </w:r>
      <w:r>
        <w:rPr>
          <w:rFonts w:hint="default" w:ascii="楷体_GB2312" w:hAnsi="楷体_GB2312" w:eastAsia="楷体_GB2312" w:cs="楷体_GB2312"/>
          <w:color w:val="auto"/>
          <w:sz w:val="28"/>
          <w:szCs w:val="28"/>
          <w:highlight w:val="yellow"/>
          <w:lang w:val="en-US" w:eastAsia="zh-CN"/>
        </w:rPr>
        <w:t>）</w:t>
      </w:r>
      <w:r>
        <w:rPr>
          <w:rFonts w:hint="eastAsia" w:ascii="楷体_GB2312" w:hAnsi="楷体_GB2312" w:eastAsia="楷体_GB2312" w:cs="楷体_GB2312"/>
          <w:color w:val="auto"/>
          <w:sz w:val="28"/>
          <w:szCs w:val="28"/>
          <w:highlight w:val="yellow"/>
          <w:lang w:val="en-US" w:eastAsia="zh-CN"/>
        </w:rPr>
        <w:t>候场地点</w:t>
      </w:r>
      <w:r>
        <w:rPr>
          <w:rFonts w:hint="default" w:ascii="楷体_GB2312" w:hAnsi="楷体_GB2312" w:eastAsia="楷体_GB2312" w:cs="楷体_GB2312"/>
          <w:color w:val="auto"/>
          <w:sz w:val="28"/>
          <w:szCs w:val="28"/>
          <w:highlight w:val="yellow"/>
          <w:lang w:val="en-US" w:eastAsia="zh-CN"/>
        </w:rPr>
        <w:t>：</w:t>
      </w:r>
      <w:r>
        <w:rPr>
          <w:rFonts w:hint="eastAsia" w:ascii="楷体_GB2312" w:hAnsi="楷体_GB2312" w:eastAsia="楷体_GB2312" w:cs="楷体_GB2312"/>
          <w:color w:val="auto"/>
          <w:sz w:val="28"/>
          <w:szCs w:val="28"/>
          <w:highlight w:val="yellow"/>
          <w:lang w:val="en-US" w:eastAsia="zh-CN"/>
        </w:rPr>
        <w:t>德达交建集团德沃办公室三楼会议室</w:t>
      </w:r>
      <w:r>
        <w:rPr>
          <w:rFonts w:hint="default" w:ascii="楷体_GB2312" w:hAnsi="楷体_GB2312" w:eastAsia="楷体_GB2312" w:cs="楷体_GB2312"/>
          <w:color w:val="auto"/>
          <w:sz w:val="28"/>
          <w:szCs w:val="28"/>
          <w:highlight w:val="yellow"/>
          <w:lang w:val="en-US" w:eastAsia="zh-CN"/>
        </w:rPr>
        <w:t>。</w:t>
      </w:r>
    </w:p>
    <w:p w14:paraId="361A84FD">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九、竞谈情况说明</w:t>
      </w:r>
    </w:p>
    <w:p w14:paraId="2E873432">
      <w:pPr>
        <w:keepNext w:val="0"/>
        <w:keepLines w:val="0"/>
        <w:pageBreakBefore w:val="0"/>
        <w:widowControl w:val="0"/>
        <w:wordWrap/>
        <w:overflowPunct/>
        <w:topLinePunct w:val="0"/>
        <w:autoSpaceDE w:val="0"/>
        <w:autoSpaceDN w:val="0"/>
        <w:bidi w:val="0"/>
        <w:adjustRightInd w:val="0"/>
        <w:spacing w:line="360" w:lineRule="auto"/>
        <w:ind w:firstLine="560" w:firstLineChars="20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1、本次竞谈根据首轮谈判情况由招标人决定是否进行二次报价；</w:t>
      </w:r>
    </w:p>
    <w:p w14:paraId="085138E0">
      <w:pPr>
        <w:keepNext w:val="0"/>
        <w:keepLines w:val="0"/>
        <w:pageBreakBefore w:val="0"/>
        <w:widowControl w:val="0"/>
        <w:wordWrap/>
        <w:overflowPunct/>
        <w:topLinePunct w:val="0"/>
        <w:autoSpaceDE w:val="0"/>
        <w:autoSpaceDN w:val="0"/>
        <w:bidi w:val="0"/>
        <w:adjustRightInd w:val="0"/>
        <w:spacing w:line="360" w:lineRule="auto"/>
        <w:ind w:firstLine="560" w:firstLineChars="200"/>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2</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color w:val="auto"/>
          <w:sz w:val="28"/>
          <w:szCs w:val="28"/>
          <w:highlight w:val="none"/>
          <w:lang w:eastAsia="zh-CN"/>
        </w:rPr>
        <w:t>递交资料</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b/>
          <w:bCs/>
          <w:color w:val="auto"/>
          <w:sz w:val="28"/>
          <w:szCs w:val="28"/>
          <w:highlight w:val="none"/>
        </w:rPr>
        <w:t>营业执照、开户许可证、法人身份证</w:t>
      </w:r>
      <w:r>
        <w:rPr>
          <w:rFonts w:hint="eastAsia" w:ascii="楷体_GB2312" w:hAnsi="楷体_GB2312" w:eastAsia="楷体_GB2312" w:cs="楷体_GB2312"/>
          <w:b/>
          <w:bCs/>
          <w:color w:val="auto"/>
          <w:sz w:val="28"/>
          <w:szCs w:val="28"/>
          <w:highlight w:val="none"/>
          <w:lang w:val="en-US" w:eastAsia="zh-CN"/>
        </w:rPr>
        <w:t>复印件或法人授权委托书、</w:t>
      </w:r>
      <w:r>
        <w:rPr>
          <w:rFonts w:hint="eastAsia" w:ascii="楷体_GB2312" w:hAnsi="楷体_GB2312" w:eastAsia="楷体_GB2312" w:cs="楷体_GB2312"/>
          <w:b/>
          <w:bCs/>
          <w:color w:val="auto"/>
          <w:sz w:val="28"/>
          <w:szCs w:val="28"/>
          <w:highlight w:val="none"/>
          <w:lang w:eastAsia="zh-CN"/>
        </w:rPr>
        <w:t>信誉截图</w:t>
      </w:r>
      <w:r>
        <w:rPr>
          <w:rFonts w:hint="eastAsia" w:ascii="楷体_GB2312" w:hAnsi="楷体_GB2312" w:eastAsia="楷体_GB2312" w:cs="楷体_GB2312"/>
          <w:color w:val="auto"/>
          <w:sz w:val="28"/>
          <w:szCs w:val="28"/>
          <w:highlight w:val="none"/>
        </w:rPr>
        <w:t>等；</w:t>
      </w:r>
    </w:p>
    <w:p w14:paraId="4E67C9C1">
      <w:pPr>
        <w:keepNext w:val="0"/>
        <w:keepLines w:val="0"/>
        <w:pageBreakBefore w:val="0"/>
        <w:widowControl w:val="0"/>
        <w:wordWrap/>
        <w:overflowPunct/>
        <w:topLinePunct w:val="0"/>
        <w:autoSpaceDE w:val="0"/>
        <w:autoSpaceDN w:val="0"/>
        <w:bidi w:val="0"/>
        <w:spacing w:line="360" w:lineRule="auto"/>
        <w:ind w:firstLine="560"/>
        <w:rPr>
          <w:rFonts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w:t>
      </w:r>
      <w:r>
        <w:rPr>
          <w:rFonts w:ascii="楷体_GB2312" w:hAnsi="楷体_GB2312" w:eastAsia="楷体_GB2312" w:cs="楷体_GB2312"/>
          <w:b/>
          <w:bCs/>
          <w:color w:val="auto"/>
          <w:sz w:val="28"/>
          <w:szCs w:val="28"/>
          <w:highlight w:val="none"/>
        </w:rPr>
        <w:t>我公司将根据报价情况按照最低价中标的原则（低于成本价除外）确定中标单位</w:t>
      </w:r>
      <w:r>
        <w:rPr>
          <w:rFonts w:ascii="楷体_GB2312" w:hAnsi="楷体_GB2312" w:eastAsia="楷体_GB2312" w:cs="楷体_GB2312"/>
          <w:color w:val="auto"/>
          <w:sz w:val="28"/>
          <w:szCs w:val="28"/>
          <w:highlight w:val="none"/>
        </w:rPr>
        <w:t>。</w:t>
      </w:r>
      <w:r>
        <w:rPr>
          <w:rFonts w:hint="eastAsia" w:ascii="楷体_GB2312" w:hAnsi="楷体_GB2312" w:eastAsia="楷体_GB2312" w:cs="楷体_GB2312"/>
          <w:b/>
          <w:bCs/>
          <w:color w:val="auto"/>
          <w:sz w:val="28"/>
          <w:szCs w:val="28"/>
          <w:highlight w:val="none"/>
          <w:lang w:eastAsia="zh-CN"/>
        </w:rPr>
        <w:t>如最低价相同的单位招标人有权依据综合竞谈情况选择供应商。</w:t>
      </w:r>
      <w:r>
        <w:rPr>
          <w:rFonts w:hint="eastAsia" w:ascii="楷体_GB2312" w:hAnsi="楷体_GB2312" w:eastAsia="楷体_GB2312" w:cs="楷体_GB2312"/>
          <w:color w:val="auto"/>
          <w:sz w:val="28"/>
          <w:szCs w:val="28"/>
          <w:highlight w:val="none"/>
          <w:lang w:eastAsia="zh-CN"/>
        </w:rPr>
        <w:t>竞谈</w:t>
      </w:r>
      <w:r>
        <w:rPr>
          <w:rFonts w:hint="eastAsia" w:ascii="楷体_GB2312" w:hAnsi="楷体_GB2312" w:eastAsia="楷体_GB2312" w:cs="楷体_GB2312"/>
          <w:color w:val="auto"/>
          <w:sz w:val="28"/>
          <w:szCs w:val="28"/>
          <w:highlight w:val="none"/>
        </w:rPr>
        <w:t>结果</w:t>
      </w:r>
      <w:r>
        <w:rPr>
          <w:rFonts w:ascii="楷体_GB2312" w:hAnsi="楷体_GB2312" w:eastAsia="楷体_GB2312" w:cs="楷体_GB2312"/>
          <w:color w:val="auto"/>
          <w:sz w:val="28"/>
          <w:szCs w:val="28"/>
          <w:highlight w:val="none"/>
        </w:rPr>
        <w:t>将在</w:t>
      </w:r>
      <w:r>
        <w:rPr>
          <w:rFonts w:hint="eastAsia" w:ascii="楷体" w:hAnsi="楷体" w:eastAsia="楷体" w:cs="楷体"/>
          <w:color w:val="auto"/>
          <w:spacing w:val="-12"/>
          <w:sz w:val="29"/>
          <w:szCs w:val="29"/>
          <w:highlight w:val="none"/>
          <w:u w:val="none"/>
          <w:lang w:val="en-US" w:eastAsia="zh-CN"/>
        </w:rPr>
        <w:t>德达交建集团</w:t>
      </w:r>
      <w:r>
        <w:rPr>
          <w:rFonts w:ascii="楷体_GB2312" w:hAnsi="楷体_GB2312" w:eastAsia="楷体_GB2312" w:cs="楷体_GB2312"/>
          <w:color w:val="auto"/>
          <w:sz w:val="28"/>
          <w:szCs w:val="28"/>
          <w:highlight w:val="none"/>
        </w:rPr>
        <w:t>网站进行公示，公示期为</w:t>
      </w:r>
      <w:r>
        <w:rPr>
          <w:rFonts w:hint="eastAsia" w:ascii="楷体_GB2312" w:hAnsi="楷体_GB2312" w:eastAsia="楷体_GB2312" w:cs="楷体_GB2312"/>
          <w:color w:val="auto"/>
          <w:sz w:val="28"/>
          <w:szCs w:val="28"/>
          <w:highlight w:val="none"/>
        </w:rPr>
        <w:t>3天</w:t>
      </w:r>
      <w:r>
        <w:rPr>
          <w:rFonts w:ascii="楷体_GB2312" w:hAnsi="楷体_GB2312" w:eastAsia="楷体_GB2312" w:cs="楷体_GB2312"/>
          <w:color w:val="auto"/>
          <w:sz w:val="28"/>
          <w:szCs w:val="28"/>
          <w:highlight w:val="none"/>
        </w:rPr>
        <w:t>。如果此次</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未达到我公司</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的目的，我公司可否决全部</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，有权另行组织</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w:t>
      </w:r>
    </w:p>
    <w:p w14:paraId="3FD520D3">
      <w:pPr>
        <w:keepNext w:val="0"/>
        <w:keepLines w:val="0"/>
        <w:pageBreakBefore w:val="0"/>
        <w:widowControl w:val="0"/>
        <w:wordWrap/>
        <w:overflowPunct/>
        <w:topLinePunct w:val="0"/>
        <w:autoSpaceDE w:val="0"/>
        <w:autoSpaceDN w:val="0"/>
        <w:bidi w:val="0"/>
        <w:adjustRightInd w:val="0"/>
        <w:spacing w:line="360" w:lineRule="auto"/>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十、不平衡报价的处理</w:t>
      </w:r>
    </w:p>
    <w:p w14:paraId="0042A580">
      <w:pPr>
        <w:keepNext w:val="0"/>
        <w:keepLines w:val="0"/>
        <w:pageBreakBefore w:val="0"/>
        <w:widowControl w:val="0"/>
        <w:wordWrap/>
        <w:overflowPunct/>
        <w:topLinePunct w:val="0"/>
        <w:autoSpaceDE w:val="0"/>
        <w:autoSpaceDN w:val="0"/>
        <w:bidi w:val="0"/>
        <w:spacing w:line="360" w:lineRule="auto"/>
        <w:ind w:firstLine="560"/>
        <w:rPr>
          <w:rFonts w:hint="eastAsia" w:ascii="楷体_GB2312" w:hAnsi="楷体_GB2312" w:eastAsia="楷体_GB2312" w:cs="楷体_GB2312"/>
          <w:color w:val="auto"/>
          <w:kern w:val="0"/>
          <w:sz w:val="28"/>
          <w:szCs w:val="28"/>
          <w:highlight w:val="none"/>
          <w:lang w:val="en-US" w:eastAsia="zh-CN"/>
        </w:rPr>
      </w:pPr>
      <w:r>
        <w:rPr>
          <w:rFonts w:ascii="楷体_GB2312" w:hAnsi="楷体_GB2312" w:eastAsia="楷体_GB2312" w:cs="楷体_GB2312"/>
          <w:color w:val="auto"/>
          <w:sz w:val="28"/>
          <w:szCs w:val="28"/>
          <w:highlight w:val="none"/>
        </w:rPr>
        <w:t>采购人在对拟中标单位报价清单进行审核过程中，如发现其报价清单存在不平衡报价的情况，有权要求拟中标单位在保持报价总价不变的情况下对不合理的清单单价进行调整。调整后的清单将作为签订合同的一部分。拟中标单位如拒绝调整，采购人有权取消其中标人资格</w:t>
      </w:r>
      <w:r>
        <w:rPr>
          <w:rFonts w:ascii="楷体_GB2312" w:hAnsi="楷体_GB2312" w:eastAsia="楷体_GB2312" w:cs="楷体_GB2312"/>
          <w:bCs/>
          <w:color w:val="auto"/>
          <w:sz w:val="28"/>
          <w:szCs w:val="28"/>
          <w:highlight w:val="none"/>
        </w:rPr>
        <w:t>。</w:t>
      </w:r>
    </w:p>
    <w:p w14:paraId="6F6FB076">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default"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 xml:space="preserve">报名电话：18205340900 </w:t>
      </w:r>
    </w:p>
    <w:p w14:paraId="0840AB84">
      <w:pPr>
        <w:keepNext w:val="0"/>
        <w:keepLines w:val="0"/>
        <w:pageBreakBefore w:val="0"/>
        <w:widowControl w:val="0"/>
        <w:wordWrap/>
        <w:overflowPunct/>
        <w:topLinePunct w:val="0"/>
        <w:bidi w:val="0"/>
        <w:spacing w:line="360" w:lineRule="auto"/>
        <w:rPr>
          <w:rFonts w:ascii="楷体_GB2312" w:hAnsi="楷体_GB2312" w:eastAsia="楷体_GB2312" w:cs="楷体_GB2312"/>
          <w:bCs/>
          <w:color w:val="auto"/>
          <w:sz w:val="28"/>
          <w:szCs w:val="28"/>
          <w:highlight w:val="none"/>
        </w:rPr>
      </w:pPr>
    </w:p>
    <w:p w14:paraId="4EE24CCD">
      <w:pPr>
        <w:keepNext w:val="0"/>
        <w:keepLines w:val="0"/>
        <w:pageBreakBefore w:val="0"/>
        <w:widowControl w:val="0"/>
        <w:wordWrap/>
        <w:overflowPunct/>
        <w:topLinePunct w:val="0"/>
        <w:bidi w:val="0"/>
        <w:spacing w:line="360" w:lineRule="auto"/>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7D187C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2025年7月25</w:t>
      </w:r>
      <w:r>
        <w:rPr>
          <w:rFonts w:hint="eastAsia" w:ascii="楷体_GB2312" w:hAnsi="楷体_GB2312" w:eastAsia="楷体_GB2312" w:cs="楷体_GB2312"/>
          <w:bCs/>
          <w:color w:val="auto"/>
          <w:sz w:val="28"/>
          <w:szCs w:val="28"/>
          <w:highlight w:val="none"/>
        </w:rPr>
        <w:t>日</w:t>
      </w:r>
    </w:p>
    <w:p w14:paraId="59E8251F">
      <w:pPr>
        <w:keepNext w:val="0"/>
        <w:keepLines w:val="0"/>
        <w:pageBreakBefore w:val="0"/>
        <w:widowControl w:val="0"/>
        <w:wordWrap/>
        <w:overflowPunct/>
        <w:topLinePunct w:val="0"/>
        <w:bidi w:val="0"/>
        <w:spacing w:line="360" w:lineRule="auto"/>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br w:type="page"/>
      </w:r>
    </w:p>
    <w:p w14:paraId="21CD0C38">
      <w:pPr>
        <w:keepNext w:val="0"/>
        <w:keepLines w:val="0"/>
        <w:pageBreakBefore w:val="0"/>
        <w:widowControl w:val="0"/>
        <w:wordWrap/>
        <w:overflowPunct/>
        <w:topLinePunct w:val="0"/>
        <w:bidi w:val="0"/>
        <w:spacing w:before="128" w:line="360" w:lineRule="auto"/>
        <w:rPr>
          <w:rFonts w:hint="eastAsia" w:ascii="楷体_GB2312" w:hAnsi="楷体_GB2312" w:eastAsia="楷体_GB2312" w:cs="楷体_GB2312"/>
          <w:b/>
          <w:color w:val="auto"/>
          <w:sz w:val="36"/>
          <w:szCs w:val="36"/>
          <w:highlight w:val="none"/>
          <w:lang w:val="en-US" w:eastAsia="zh-CN"/>
        </w:rPr>
      </w:pPr>
      <w:r>
        <w:rPr>
          <w:rFonts w:hint="eastAsia" w:eastAsia="宋体"/>
          <w:b/>
          <w:bCs/>
          <w:color w:val="auto"/>
          <w:sz w:val="24"/>
          <w:szCs w:val="24"/>
          <w:highlight w:val="none"/>
          <w:lang w:val="en-US" w:eastAsia="zh-CN"/>
        </w:rPr>
        <w:t>附表1：</w:t>
      </w:r>
    </w:p>
    <w:p w14:paraId="2957A7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color w:val="auto"/>
          <w:sz w:val="36"/>
          <w:szCs w:val="36"/>
          <w:highlight w:val="none"/>
          <w:lang w:val="en-US" w:eastAsia="zh-CN"/>
        </w:rPr>
      </w:pPr>
    </w:p>
    <w:p w14:paraId="6F7E8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color w:val="auto"/>
          <w:sz w:val="36"/>
          <w:szCs w:val="36"/>
          <w:highlight w:val="none"/>
          <w:lang w:eastAsia="zh-CN"/>
        </w:rPr>
      </w:pPr>
      <w:r>
        <w:rPr>
          <w:rFonts w:hint="eastAsia" w:ascii="楷体_GB2312" w:hAnsi="楷体_GB2312" w:eastAsia="楷体_GB2312" w:cs="楷体_GB2312"/>
          <w:b/>
          <w:color w:val="auto"/>
          <w:sz w:val="36"/>
          <w:szCs w:val="36"/>
          <w:highlight w:val="none"/>
          <w:lang w:val="en-US" w:eastAsia="zh-CN"/>
        </w:rPr>
        <w:t>高青至武城高速公路商河至平原段工程</w:t>
      </w:r>
    </w:p>
    <w:p w14:paraId="6CA847B6">
      <w:pPr>
        <w:keepNext w:val="0"/>
        <w:keepLines w:val="0"/>
        <w:pageBreakBefore w:val="0"/>
        <w:widowControl w:val="0"/>
        <w:wordWrap/>
        <w:overflowPunct/>
        <w:topLinePunct w:val="0"/>
        <w:bidi w:val="0"/>
        <w:spacing w:line="360" w:lineRule="auto"/>
        <w:jc w:val="center"/>
        <w:rPr>
          <w:rFonts w:hint="eastAsia"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bCs/>
          <w:color w:val="auto"/>
          <w:sz w:val="36"/>
          <w:szCs w:val="36"/>
          <w:highlight w:val="none"/>
          <w:lang w:val="en-US" w:eastAsia="zh-CN"/>
        </w:rPr>
        <w:t>隔离栅混凝土基础预制件采购项目一标段</w:t>
      </w:r>
      <w:r>
        <w:rPr>
          <w:rFonts w:hint="eastAsia" w:ascii="楷体_GB2312" w:hAnsi="楷体_GB2312" w:eastAsia="楷体_GB2312" w:cs="楷体_GB2312"/>
          <w:b/>
          <w:color w:val="auto"/>
          <w:sz w:val="36"/>
          <w:szCs w:val="36"/>
          <w:highlight w:val="none"/>
          <w:lang w:val="en-US" w:eastAsia="zh-CN"/>
        </w:rPr>
        <w:t>竞谈报价</w:t>
      </w:r>
    </w:p>
    <w:p w14:paraId="088885A6">
      <w:pPr>
        <w:keepNext w:val="0"/>
        <w:keepLines w:val="0"/>
        <w:pageBreakBefore w:val="0"/>
        <w:widowControl w:val="0"/>
        <w:wordWrap/>
        <w:overflowPunct/>
        <w:topLinePunct w:val="0"/>
        <w:bidi w:val="0"/>
        <w:spacing w:line="360" w:lineRule="auto"/>
        <w:jc w:val="center"/>
        <w:rPr>
          <w:rFonts w:hint="eastAsia" w:eastAsia="宋体"/>
          <w:color w:val="auto"/>
          <w:highlight w:val="none"/>
          <w:lang w:val="en-US" w:eastAsia="zh-CN"/>
        </w:rPr>
      </w:pPr>
      <w:r>
        <w:rPr>
          <w:rFonts w:hint="eastAsia" w:ascii="楷体_GB2312" w:hAnsi="楷体_GB2312" w:eastAsia="楷体_GB2312" w:cs="楷体_GB2312"/>
          <w:b/>
          <w:color w:val="auto"/>
          <w:sz w:val="36"/>
          <w:szCs w:val="36"/>
          <w:highlight w:val="none"/>
          <w:lang w:val="en-US" w:eastAsia="zh-CN"/>
        </w:rPr>
        <w:t>（首轮）</w:t>
      </w:r>
    </w:p>
    <w:p w14:paraId="5161C73F">
      <w:pPr>
        <w:keepNext w:val="0"/>
        <w:keepLines w:val="0"/>
        <w:pageBreakBefore w:val="0"/>
        <w:widowControl w:val="0"/>
        <w:numPr>
          <w:ilvl w:val="0"/>
          <w:numId w:val="0"/>
        </w:numPr>
        <w:kinsoku/>
        <w:wordWrap/>
        <w:overflowPunct/>
        <w:topLinePunct w:val="0"/>
        <w:bidi w:val="0"/>
        <w:snapToGrid/>
        <w:spacing w:line="360" w:lineRule="auto"/>
        <w:jc w:val="right"/>
        <w:rPr>
          <w:rFonts w:hint="eastAsia" w:asciiTheme="minorEastAsia" w:hAnsiTheme="minorEastAsia" w:eastAsiaTheme="minorEastAsia" w:cstheme="minorEastAsia"/>
          <w:b/>
          <w:color w:val="auto"/>
          <w:kern w:val="0"/>
          <w:sz w:val="28"/>
          <w:szCs w:val="28"/>
          <w:highlight w:val="none"/>
          <w:lang w:val="en-US" w:eastAsia="zh-CN" w:bidi="ar-SA"/>
        </w:rPr>
      </w:pPr>
      <w:r>
        <w:rPr>
          <w:rFonts w:hint="eastAsia" w:ascii="宋体" w:eastAsia="宋体" w:cs="宋体"/>
          <w:color w:val="auto"/>
          <w:kern w:val="0"/>
          <w:sz w:val="24"/>
          <w:szCs w:val="24"/>
          <w:highlight w:val="none"/>
        </w:rPr>
        <w:t>货币单位:人民币（元）</w:t>
      </w:r>
    </w:p>
    <w:tbl>
      <w:tblPr>
        <w:tblStyle w:val="13"/>
        <w:tblW w:w="8246" w:type="dxa"/>
        <w:jc w:val="center"/>
        <w:tblLayout w:type="fixed"/>
        <w:tblCellMar>
          <w:top w:w="0" w:type="dxa"/>
          <w:left w:w="0" w:type="dxa"/>
          <w:bottom w:w="0" w:type="dxa"/>
          <w:right w:w="0" w:type="dxa"/>
        </w:tblCellMar>
      </w:tblPr>
      <w:tblGrid>
        <w:gridCol w:w="600"/>
        <w:gridCol w:w="945"/>
        <w:gridCol w:w="502"/>
        <w:gridCol w:w="672"/>
        <w:gridCol w:w="1092"/>
        <w:gridCol w:w="1044"/>
        <w:gridCol w:w="3391"/>
      </w:tblGrid>
      <w:tr w14:paraId="1D96EB02">
        <w:tblPrEx>
          <w:tblCellMar>
            <w:top w:w="0" w:type="dxa"/>
            <w:left w:w="0" w:type="dxa"/>
            <w:bottom w:w="0" w:type="dxa"/>
            <w:right w:w="0" w:type="dxa"/>
          </w:tblCellMar>
        </w:tblPrEx>
        <w:trPr>
          <w:trHeight w:val="574" w:hRule="atLeast"/>
          <w:jc w:val="center"/>
        </w:trPr>
        <w:tc>
          <w:tcPr>
            <w:tcW w:w="6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05B5E59">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08B16">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名称</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6F5AB">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单位</w:t>
            </w:r>
          </w:p>
        </w:tc>
        <w:tc>
          <w:tcPr>
            <w:tcW w:w="6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FF891">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数量</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510C1">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不含税单价</w:t>
            </w:r>
          </w:p>
          <w:p w14:paraId="779C95E8">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（元/吨）</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83E576">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不含税合计（元）</w:t>
            </w:r>
          </w:p>
        </w:tc>
        <w:tc>
          <w:tcPr>
            <w:tcW w:w="3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0573A">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备注</w:t>
            </w:r>
          </w:p>
        </w:tc>
      </w:tr>
      <w:tr w14:paraId="220C5A60">
        <w:tblPrEx>
          <w:tblCellMar>
            <w:top w:w="0" w:type="dxa"/>
            <w:left w:w="0" w:type="dxa"/>
            <w:bottom w:w="0" w:type="dxa"/>
            <w:right w:w="0" w:type="dxa"/>
          </w:tblCellMar>
        </w:tblPrEx>
        <w:trPr>
          <w:trHeight w:val="476" w:hRule="atLeast"/>
          <w:jc w:val="center"/>
        </w:trPr>
        <w:tc>
          <w:tcPr>
            <w:tcW w:w="6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F8084DC">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12DE25">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隔离栅混凝土基础300*300*500</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82926">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78A58B">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26750</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7566B">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DC5A4">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p>
        </w:tc>
        <w:tc>
          <w:tcPr>
            <w:tcW w:w="3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7D587">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包含但不限于场地费、混凝土、模板、预制、养生、运输、装卸车及卸车前的全部费用。</w:t>
            </w:r>
          </w:p>
        </w:tc>
      </w:tr>
      <w:tr w14:paraId="7913B124">
        <w:tblPrEx>
          <w:tblCellMar>
            <w:top w:w="0" w:type="dxa"/>
            <w:left w:w="0" w:type="dxa"/>
            <w:bottom w:w="0" w:type="dxa"/>
            <w:right w:w="0" w:type="dxa"/>
          </w:tblCellMar>
        </w:tblPrEx>
        <w:trPr>
          <w:trHeight w:val="776" w:hRule="atLeast"/>
          <w:jc w:val="center"/>
        </w:trPr>
        <w:tc>
          <w:tcPr>
            <w:tcW w:w="6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DE1D959">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0433DA">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隔离栅混凝土基础400*400*600</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D3C2">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F5DA4D">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3644</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39763">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D9CB59">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p>
        </w:tc>
        <w:tc>
          <w:tcPr>
            <w:tcW w:w="3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8ABC5">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包含但不限于场地费、混凝土、模板、预制、养生、运输、装卸车及卸车前的全部费用。</w:t>
            </w:r>
          </w:p>
        </w:tc>
      </w:tr>
      <w:tr w14:paraId="64029D75">
        <w:tblPrEx>
          <w:tblCellMar>
            <w:top w:w="0" w:type="dxa"/>
            <w:left w:w="0" w:type="dxa"/>
            <w:bottom w:w="0" w:type="dxa"/>
            <w:right w:w="0" w:type="dxa"/>
          </w:tblCellMar>
        </w:tblPrEx>
        <w:trPr>
          <w:trHeight w:val="655" w:hRule="atLeast"/>
          <w:jc w:val="center"/>
        </w:trPr>
        <w:tc>
          <w:tcPr>
            <w:tcW w:w="271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16CCA">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合 计(元)</w:t>
            </w:r>
          </w:p>
        </w:tc>
        <w:tc>
          <w:tcPr>
            <w:tcW w:w="55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CDC5F">
            <w:pPr>
              <w:keepNext w:val="0"/>
              <w:keepLines w:val="0"/>
              <w:pageBreakBefore w:val="0"/>
              <w:widowControl w:val="0"/>
              <w:suppressLineNumbers w:val="0"/>
              <w:wordWrap/>
              <w:overflowPunct/>
              <w:topLinePunct w:val="0"/>
              <w:bidi w:val="0"/>
              <w:spacing w:line="360" w:lineRule="auto"/>
              <w:jc w:val="left"/>
              <w:textAlignment w:val="center"/>
              <w:rPr>
                <w:rFonts w:hint="default" w:ascii="宋体" w:hAnsi="宋体" w:eastAsia="宋体" w:cs="宋体"/>
                <w:i w:val="0"/>
                <w:iCs w:val="0"/>
                <w:snapToGrid w:val="0"/>
                <w:color w:val="000000"/>
                <w:kern w:val="0"/>
                <w:sz w:val="20"/>
                <w:szCs w:val="20"/>
                <w:u w:val="none"/>
                <w:lang w:val="en-US" w:eastAsia="zh-CN" w:bidi="ar"/>
              </w:rPr>
            </w:pPr>
          </w:p>
        </w:tc>
      </w:tr>
    </w:tbl>
    <w:p w14:paraId="5A31ED80">
      <w:pPr>
        <w:keepNext w:val="0"/>
        <w:keepLines w:val="0"/>
        <w:pageBreakBefore w:val="0"/>
        <w:widowControl w:val="0"/>
        <w:kinsoku/>
        <w:wordWrap/>
        <w:overflowPunct/>
        <w:topLinePunct w:val="0"/>
        <w:autoSpaceDE/>
        <w:autoSpaceDN/>
        <w:bidi w:val="0"/>
        <w:adjustRightInd/>
        <w:snapToGrid/>
        <w:spacing w:afterLines="50" w:line="360" w:lineRule="auto"/>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0C11BB1E">
      <w:pPr>
        <w:keepNext w:val="0"/>
        <w:keepLines w:val="0"/>
        <w:pageBreakBefore w:val="0"/>
        <w:widowControl w:val="0"/>
        <w:wordWrap/>
        <w:overflowPunct/>
        <w:topLinePunct w:val="0"/>
        <w:autoSpaceDE w:val="0"/>
        <w:autoSpaceDN w:val="0"/>
        <w:bidi w:val="0"/>
        <w:adjustRightInd w:val="0"/>
        <w:spacing w:line="360" w:lineRule="auto"/>
        <w:ind w:firstLine="450"/>
        <w:rPr>
          <w:rFonts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注：此</w:t>
      </w:r>
      <w:r>
        <w:rPr>
          <w:rFonts w:ascii="楷体_GB2312" w:hAnsi="楷体_GB2312" w:eastAsia="楷体_GB2312" w:cs="楷体_GB2312"/>
          <w:color w:val="auto"/>
          <w:sz w:val="28"/>
          <w:szCs w:val="28"/>
          <w:highlight w:val="none"/>
        </w:rPr>
        <w:t>价格</w:t>
      </w:r>
      <w:r>
        <w:rPr>
          <w:rFonts w:hint="eastAsia" w:ascii="楷体_GB2312" w:hAnsi="楷体_GB2312" w:eastAsia="楷体_GB2312" w:cs="楷体_GB2312"/>
          <w:color w:val="auto"/>
          <w:sz w:val="28"/>
          <w:szCs w:val="28"/>
          <w:highlight w:val="none"/>
        </w:rPr>
        <w:t>为不含税价，税率根据实际税率变化，工程量以现场实际确认为准。</w:t>
      </w:r>
    </w:p>
    <w:p w14:paraId="62A1750D">
      <w:pPr>
        <w:keepNext w:val="0"/>
        <w:keepLines w:val="0"/>
        <w:pageBreakBefore w:val="0"/>
        <w:widowControl w:val="0"/>
        <w:wordWrap/>
        <w:overflowPunct/>
        <w:topLinePunct w:val="0"/>
        <w:bidi w:val="0"/>
        <w:spacing w:line="360" w:lineRule="auto"/>
        <w:ind w:firstLine="3935" w:firstLineChars="1400"/>
        <w:rPr>
          <w:rFonts w:hint="eastAsia" w:ascii="楷体_GB2312" w:hAnsi="楷体_GB2312" w:eastAsia="楷体_GB2312" w:cs="楷体_GB2312"/>
          <w:b/>
          <w:bCs/>
          <w:color w:val="auto"/>
          <w:sz w:val="28"/>
          <w:szCs w:val="28"/>
          <w:highlight w:val="none"/>
          <w:lang w:eastAsia="zh-CN"/>
        </w:rPr>
      </w:pPr>
    </w:p>
    <w:p w14:paraId="45B36815">
      <w:pPr>
        <w:keepNext w:val="0"/>
        <w:keepLines w:val="0"/>
        <w:pageBreakBefore w:val="0"/>
        <w:widowControl w:val="0"/>
        <w:wordWrap/>
        <w:overflowPunct/>
        <w:topLinePunct w:val="0"/>
        <w:bidi w:val="0"/>
        <w:spacing w:line="360" w:lineRule="auto"/>
        <w:ind w:firstLine="3935" w:firstLineChars="1400"/>
        <w:rPr>
          <w:rFonts w:hint="eastAsia" w:ascii="楷体_GB2312" w:hAnsi="楷体_GB2312" w:eastAsia="楷体_GB2312" w:cs="楷体_GB2312"/>
          <w:b/>
          <w:bCs/>
          <w:color w:val="auto"/>
          <w:sz w:val="28"/>
          <w:szCs w:val="28"/>
          <w:highlight w:val="none"/>
          <w:lang w:eastAsia="zh-CN"/>
        </w:rPr>
      </w:pPr>
    </w:p>
    <w:p w14:paraId="4C11B9A6">
      <w:pPr>
        <w:keepNext w:val="0"/>
        <w:keepLines w:val="0"/>
        <w:pageBreakBefore w:val="0"/>
        <w:widowControl w:val="0"/>
        <w:wordWrap/>
        <w:overflowPunct/>
        <w:topLinePunct w:val="0"/>
        <w:bidi w:val="0"/>
        <w:spacing w:line="360" w:lineRule="auto"/>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5E4837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2025年7月25</w:t>
      </w:r>
      <w:r>
        <w:rPr>
          <w:rFonts w:hint="eastAsia" w:ascii="楷体_GB2312" w:hAnsi="楷体_GB2312" w:eastAsia="楷体_GB2312" w:cs="楷体_GB2312"/>
          <w:bCs/>
          <w:color w:val="auto"/>
          <w:sz w:val="28"/>
          <w:szCs w:val="28"/>
          <w:highlight w:val="none"/>
        </w:rPr>
        <w:t>日</w:t>
      </w:r>
    </w:p>
    <w:p w14:paraId="4703318C">
      <w:pPr>
        <w:keepNext w:val="0"/>
        <w:keepLines w:val="0"/>
        <w:pageBreakBefore w:val="0"/>
        <w:widowControl w:val="0"/>
        <w:wordWrap/>
        <w:overflowPunct/>
        <w:topLinePunct w:val="0"/>
        <w:bidi w:val="0"/>
        <w:spacing w:line="360" w:lineRule="auto"/>
        <w:rPr>
          <w:rFonts w:hint="eastAsia"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rPr>
        <w:br w:type="page"/>
      </w:r>
    </w:p>
    <w:p w14:paraId="3B8543B7">
      <w:pPr>
        <w:keepNext w:val="0"/>
        <w:keepLines w:val="0"/>
        <w:pageBreakBefore w:val="0"/>
        <w:widowControl w:val="0"/>
        <w:wordWrap/>
        <w:overflowPunct/>
        <w:topLinePunct w:val="0"/>
        <w:bidi w:val="0"/>
        <w:spacing w:before="128" w:line="360" w:lineRule="auto"/>
        <w:rPr>
          <w:rFonts w:hint="eastAsia" w:ascii="楷体_GB2312" w:hAnsi="楷体_GB2312" w:eastAsia="楷体_GB2312" w:cs="楷体_GB2312"/>
          <w:b/>
          <w:color w:val="auto"/>
          <w:sz w:val="36"/>
          <w:szCs w:val="36"/>
          <w:highlight w:val="none"/>
          <w:lang w:val="en-US" w:eastAsia="zh-CN"/>
        </w:rPr>
      </w:pPr>
      <w:r>
        <w:rPr>
          <w:rFonts w:hint="eastAsia" w:eastAsia="宋体"/>
          <w:b/>
          <w:bCs/>
          <w:color w:val="auto"/>
          <w:sz w:val="24"/>
          <w:szCs w:val="24"/>
          <w:highlight w:val="none"/>
          <w:lang w:val="en-US" w:eastAsia="zh-CN"/>
        </w:rPr>
        <w:t>附表2：</w:t>
      </w:r>
    </w:p>
    <w:p w14:paraId="634A35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color w:val="auto"/>
          <w:sz w:val="36"/>
          <w:szCs w:val="36"/>
          <w:highlight w:val="none"/>
          <w:lang w:val="en-US" w:eastAsia="zh-CN"/>
        </w:rPr>
      </w:pPr>
    </w:p>
    <w:p w14:paraId="11C3B8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color w:val="auto"/>
          <w:sz w:val="36"/>
          <w:szCs w:val="36"/>
          <w:highlight w:val="none"/>
          <w:lang w:eastAsia="zh-CN"/>
        </w:rPr>
      </w:pPr>
      <w:r>
        <w:rPr>
          <w:rFonts w:hint="eastAsia" w:ascii="楷体_GB2312" w:hAnsi="楷体_GB2312" w:eastAsia="楷体_GB2312" w:cs="楷体_GB2312"/>
          <w:b/>
          <w:color w:val="auto"/>
          <w:sz w:val="36"/>
          <w:szCs w:val="36"/>
          <w:highlight w:val="none"/>
          <w:lang w:val="en-US" w:eastAsia="zh-CN"/>
        </w:rPr>
        <w:t>高青至武城高速公路商河至平原段工程</w:t>
      </w:r>
    </w:p>
    <w:p w14:paraId="4083EE2D">
      <w:pPr>
        <w:keepNext w:val="0"/>
        <w:keepLines w:val="0"/>
        <w:pageBreakBefore w:val="0"/>
        <w:widowControl w:val="0"/>
        <w:wordWrap/>
        <w:overflowPunct/>
        <w:topLinePunct w:val="0"/>
        <w:bidi w:val="0"/>
        <w:spacing w:line="360" w:lineRule="auto"/>
        <w:jc w:val="center"/>
        <w:rPr>
          <w:rFonts w:hint="eastAsia"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bCs/>
          <w:color w:val="auto"/>
          <w:sz w:val="36"/>
          <w:szCs w:val="36"/>
          <w:highlight w:val="none"/>
          <w:lang w:val="en-US" w:eastAsia="zh-CN"/>
        </w:rPr>
        <w:t>隔离栅混凝土基础预制件采购项目一标段</w:t>
      </w:r>
      <w:r>
        <w:rPr>
          <w:rFonts w:hint="eastAsia" w:ascii="楷体_GB2312" w:hAnsi="楷体_GB2312" w:eastAsia="楷体_GB2312" w:cs="楷体_GB2312"/>
          <w:b/>
          <w:color w:val="auto"/>
          <w:sz w:val="36"/>
          <w:szCs w:val="36"/>
          <w:highlight w:val="none"/>
          <w:lang w:val="en-US" w:eastAsia="zh-CN"/>
        </w:rPr>
        <w:t>竞谈报价</w:t>
      </w:r>
    </w:p>
    <w:p w14:paraId="0CE14742">
      <w:pPr>
        <w:keepNext w:val="0"/>
        <w:keepLines w:val="0"/>
        <w:pageBreakBefore w:val="0"/>
        <w:widowControl w:val="0"/>
        <w:wordWrap/>
        <w:overflowPunct/>
        <w:topLinePunct w:val="0"/>
        <w:bidi w:val="0"/>
        <w:spacing w:line="360" w:lineRule="auto"/>
        <w:jc w:val="center"/>
        <w:rPr>
          <w:rFonts w:hint="eastAsia" w:eastAsia="宋体"/>
          <w:color w:val="auto"/>
          <w:highlight w:val="none"/>
          <w:lang w:val="en-US" w:eastAsia="zh-CN"/>
        </w:rPr>
      </w:pPr>
      <w:r>
        <w:rPr>
          <w:rFonts w:hint="eastAsia" w:ascii="楷体_GB2312" w:hAnsi="楷体_GB2312" w:eastAsia="楷体_GB2312" w:cs="楷体_GB2312"/>
          <w:b/>
          <w:color w:val="auto"/>
          <w:sz w:val="36"/>
          <w:szCs w:val="36"/>
          <w:highlight w:val="none"/>
          <w:lang w:val="en-US" w:eastAsia="zh-CN"/>
        </w:rPr>
        <w:t>（二轮）</w:t>
      </w:r>
    </w:p>
    <w:p w14:paraId="2C0384A8">
      <w:pPr>
        <w:keepNext w:val="0"/>
        <w:keepLines w:val="0"/>
        <w:pageBreakBefore w:val="0"/>
        <w:widowControl w:val="0"/>
        <w:numPr>
          <w:ilvl w:val="0"/>
          <w:numId w:val="0"/>
        </w:numPr>
        <w:kinsoku/>
        <w:wordWrap/>
        <w:overflowPunct/>
        <w:topLinePunct w:val="0"/>
        <w:bidi w:val="0"/>
        <w:snapToGrid/>
        <w:spacing w:line="360" w:lineRule="auto"/>
        <w:jc w:val="right"/>
        <w:rPr>
          <w:rFonts w:hint="eastAsia" w:asciiTheme="minorEastAsia" w:hAnsiTheme="minorEastAsia" w:eastAsiaTheme="minorEastAsia" w:cstheme="minorEastAsia"/>
          <w:b/>
          <w:color w:val="auto"/>
          <w:kern w:val="0"/>
          <w:sz w:val="28"/>
          <w:szCs w:val="28"/>
          <w:highlight w:val="none"/>
          <w:lang w:val="en-US" w:eastAsia="zh-CN" w:bidi="ar-SA"/>
        </w:rPr>
      </w:pPr>
      <w:r>
        <w:rPr>
          <w:rFonts w:hint="eastAsia" w:ascii="宋体" w:eastAsia="宋体" w:cs="宋体"/>
          <w:color w:val="auto"/>
          <w:kern w:val="0"/>
          <w:sz w:val="24"/>
          <w:szCs w:val="24"/>
          <w:highlight w:val="none"/>
        </w:rPr>
        <w:t>货币单位:人民币（元）</w:t>
      </w:r>
    </w:p>
    <w:tbl>
      <w:tblPr>
        <w:tblStyle w:val="13"/>
        <w:tblW w:w="8246" w:type="dxa"/>
        <w:jc w:val="center"/>
        <w:tblLayout w:type="fixed"/>
        <w:tblCellMar>
          <w:top w:w="0" w:type="dxa"/>
          <w:left w:w="0" w:type="dxa"/>
          <w:bottom w:w="0" w:type="dxa"/>
          <w:right w:w="0" w:type="dxa"/>
        </w:tblCellMar>
      </w:tblPr>
      <w:tblGrid>
        <w:gridCol w:w="600"/>
        <w:gridCol w:w="945"/>
        <w:gridCol w:w="502"/>
        <w:gridCol w:w="672"/>
        <w:gridCol w:w="1092"/>
        <w:gridCol w:w="1044"/>
        <w:gridCol w:w="3391"/>
      </w:tblGrid>
      <w:tr w14:paraId="3D1B31A3">
        <w:tblPrEx>
          <w:tblCellMar>
            <w:top w:w="0" w:type="dxa"/>
            <w:left w:w="0" w:type="dxa"/>
            <w:bottom w:w="0" w:type="dxa"/>
            <w:right w:w="0" w:type="dxa"/>
          </w:tblCellMar>
        </w:tblPrEx>
        <w:trPr>
          <w:trHeight w:val="574" w:hRule="atLeast"/>
          <w:jc w:val="center"/>
        </w:trPr>
        <w:tc>
          <w:tcPr>
            <w:tcW w:w="6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4CEDB96">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27F1A">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名称</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AC1C8">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单位</w:t>
            </w:r>
          </w:p>
        </w:tc>
        <w:tc>
          <w:tcPr>
            <w:tcW w:w="6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4CC65">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数量</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7C109">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不含税单价</w:t>
            </w:r>
          </w:p>
          <w:p w14:paraId="2290010E">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（元/吨）</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1D1DB1">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不含税合计（元）</w:t>
            </w:r>
          </w:p>
        </w:tc>
        <w:tc>
          <w:tcPr>
            <w:tcW w:w="3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621A1">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备注</w:t>
            </w:r>
          </w:p>
        </w:tc>
      </w:tr>
      <w:tr w14:paraId="3CEF96AB">
        <w:tblPrEx>
          <w:tblCellMar>
            <w:top w:w="0" w:type="dxa"/>
            <w:left w:w="0" w:type="dxa"/>
            <w:bottom w:w="0" w:type="dxa"/>
            <w:right w:w="0" w:type="dxa"/>
          </w:tblCellMar>
        </w:tblPrEx>
        <w:trPr>
          <w:trHeight w:val="476" w:hRule="atLeast"/>
          <w:jc w:val="center"/>
        </w:trPr>
        <w:tc>
          <w:tcPr>
            <w:tcW w:w="6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2D040A7">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FBA0DB">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隔离栅混凝土基础300*300*500</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6819C">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FD43F3">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26750</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9D7E1">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0F4428">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p>
        </w:tc>
        <w:tc>
          <w:tcPr>
            <w:tcW w:w="3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E1D77">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包含但不限于场地费、混凝土、模板、预制、养生、运输、装卸车及卸车前的全部费用。</w:t>
            </w:r>
          </w:p>
        </w:tc>
      </w:tr>
      <w:tr w14:paraId="5F7A300D">
        <w:tblPrEx>
          <w:tblCellMar>
            <w:top w:w="0" w:type="dxa"/>
            <w:left w:w="0" w:type="dxa"/>
            <w:bottom w:w="0" w:type="dxa"/>
            <w:right w:w="0" w:type="dxa"/>
          </w:tblCellMar>
        </w:tblPrEx>
        <w:trPr>
          <w:trHeight w:val="776" w:hRule="atLeast"/>
          <w:jc w:val="center"/>
        </w:trPr>
        <w:tc>
          <w:tcPr>
            <w:tcW w:w="6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11A9F59">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66A33F">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隔离栅混凝土基础400*400*600</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C6209">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58B6BD">
            <w:pPr>
              <w:keepNext w:val="0"/>
              <w:keepLines w:val="0"/>
              <w:pageBreakBefore w:val="0"/>
              <w:widowControl w:val="0"/>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3644</w:t>
            </w:r>
          </w:p>
        </w:tc>
        <w:tc>
          <w:tcPr>
            <w:tcW w:w="10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A1869">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8159AE">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1"/>
                <w:szCs w:val="21"/>
                <w:highlight w:val="none"/>
                <w:u w:val="none"/>
                <w:lang w:val="en-US" w:eastAsia="zh-CN" w:bidi="ar"/>
              </w:rPr>
            </w:pPr>
          </w:p>
        </w:tc>
        <w:tc>
          <w:tcPr>
            <w:tcW w:w="3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E4801">
            <w:pPr>
              <w:keepNext w:val="0"/>
              <w:keepLines w:val="0"/>
              <w:pageBreakBefore w:val="0"/>
              <w:widowControl w:val="0"/>
              <w:suppressLineNumbers w:val="0"/>
              <w:kinsoku/>
              <w:wordWrap/>
              <w:overflowPunct/>
              <w:topLinePunct w:val="0"/>
              <w:bidi w:val="0"/>
              <w:snapToGrid/>
              <w:spacing w:line="360" w:lineRule="auto"/>
              <w:jc w:val="center"/>
              <w:textAlignment w:val="center"/>
              <w:rPr>
                <w:rFonts w:hint="default" w:ascii="宋体" w:hAnsi="宋体" w:eastAsia="宋体" w:cs="宋体"/>
                <w:i w:val="0"/>
                <w:color w:val="auto"/>
                <w:kern w:val="0"/>
                <w:sz w:val="21"/>
                <w:szCs w:val="21"/>
                <w:highlight w:val="yellow"/>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包含但不限于场地费、混凝土、模板、预制、养生、运输、装卸车及卸车前的全部费用。</w:t>
            </w:r>
          </w:p>
        </w:tc>
      </w:tr>
      <w:tr w14:paraId="0EDAC970">
        <w:tblPrEx>
          <w:tblCellMar>
            <w:top w:w="0" w:type="dxa"/>
            <w:left w:w="0" w:type="dxa"/>
            <w:bottom w:w="0" w:type="dxa"/>
            <w:right w:w="0" w:type="dxa"/>
          </w:tblCellMar>
        </w:tblPrEx>
        <w:trPr>
          <w:trHeight w:val="655" w:hRule="atLeast"/>
          <w:jc w:val="center"/>
        </w:trPr>
        <w:tc>
          <w:tcPr>
            <w:tcW w:w="271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AA375">
            <w:pPr>
              <w:keepNext w:val="0"/>
              <w:keepLines w:val="0"/>
              <w:pageBreakBefore w:val="0"/>
              <w:widowControl w:val="0"/>
              <w:suppressLineNumbers w:val="0"/>
              <w:wordWrap/>
              <w:overflowPunct/>
              <w:topLinePunct w:val="0"/>
              <w:bidi w:val="0"/>
              <w:spacing w:line="360" w:lineRule="auto"/>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合 计(元)</w:t>
            </w:r>
          </w:p>
        </w:tc>
        <w:tc>
          <w:tcPr>
            <w:tcW w:w="55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10077">
            <w:pPr>
              <w:keepNext w:val="0"/>
              <w:keepLines w:val="0"/>
              <w:pageBreakBefore w:val="0"/>
              <w:widowControl w:val="0"/>
              <w:suppressLineNumbers w:val="0"/>
              <w:wordWrap/>
              <w:overflowPunct/>
              <w:topLinePunct w:val="0"/>
              <w:bidi w:val="0"/>
              <w:spacing w:line="360" w:lineRule="auto"/>
              <w:jc w:val="left"/>
              <w:textAlignment w:val="center"/>
              <w:rPr>
                <w:rFonts w:hint="default" w:ascii="宋体" w:hAnsi="宋体" w:eastAsia="宋体" w:cs="宋体"/>
                <w:i w:val="0"/>
                <w:iCs w:val="0"/>
                <w:snapToGrid w:val="0"/>
                <w:color w:val="000000"/>
                <w:kern w:val="0"/>
                <w:sz w:val="20"/>
                <w:szCs w:val="20"/>
                <w:u w:val="none"/>
                <w:lang w:val="en-US" w:eastAsia="zh-CN" w:bidi="ar"/>
              </w:rPr>
            </w:pPr>
          </w:p>
        </w:tc>
      </w:tr>
    </w:tbl>
    <w:p w14:paraId="0E06E1BD">
      <w:pPr>
        <w:keepNext w:val="0"/>
        <w:keepLines w:val="0"/>
        <w:pageBreakBefore w:val="0"/>
        <w:widowControl w:val="0"/>
        <w:kinsoku/>
        <w:wordWrap/>
        <w:overflowPunct/>
        <w:topLinePunct w:val="0"/>
        <w:autoSpaceDE/>
        <w:autoSpaceDN/>
        <w:bidi w:val="0"/>
        <w:adjustRightInd/>
        <w:snapToGrid/>
        <w:spacing w:afterLines="50" w:line="360" w:lineRule="auto"/>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52D649D3">
      <w:pPr>
        <w:keepNext w:val="0"/>
        <w:keepLines w:val="0"/>
        <w:pageBreakBefore w:val="0"/>
        <w:widowControl w:val="0"/>
        <w:wordWrap/>
        <w:overflowPunct/>
        <w:topLinePunct w:val="0"/>
        <w:autoSpaceDE w:val="0"/>
        <w:autoSpaceDN w:val="0"/>
        <w:bidi w:val="0"/>
        <w:adjustRightInd w:val="0"/>
        <w:spacing w:line="360" w:lineRule="auto"/>
        <w:ind w:firstLine="450"/>
        <w:rPr>
          <w:rFonts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注：此</w:t>
      </w:r>
      <w:r>
        <w:rPr>
          <w:rFonts w:ascii="楷体_GB2312" w:hAnsi="楷体_GB2312" w:eastAsia="楷体_GB2312" w:cs="楷体_GB2312"/>
          <w:color w:val="auto"/>
          <w:sz w:val="28"/>
          <w:szCs w:val="28"/>
          <w:highlight w:val="none"/>
        </w:rPr>
        <w:t>价格</w:t>
      </w:r>
      <w:r>
        <w:rPr>
          <w:rFonts w:hint="eastAsia" w:ascii="楷体_GB2312" w:hAnsi="楷体_GB2312" w:eastAsia="楷体_GB2312" w:cs="楷体_GB2312"/>
          <w:color w:val="auto"/>
          <w:sz w:val="28"/>
          <w:szCs w:val="28"/>
          <w:highlight w:val="none"/>
        </w:rPr>
        <w:t>为不含税价，税率根据实际税率变化，工程量以现场实际确认为准。</w:t>
      </w:r>
    </w:p>
    <w:p w14:paraId="5FD3BD6B">
      <w:pPr>
        <w:keepNext w:val="0"/>
        <w:keepLines w:val="0"/>
        <w:pageBreakBefore w:val="0"/>
        <w:widowControl w:val="0"/>
        <w:wordWrap/>
        <w:overflowPunct/>
        <w:topLinePunct w:val="0"/>
        <w:bidi w:val="0"/>
        <w:spacing w:line="360" w:lineRule="auto"/>
        <w:ind w:firstLine="3935" w:firstLineChars="1400"/>
        <w:rPr>
          <w:rFonts w:hint="eastAsia" w:ascii="楷体_GB2312" w:hAnsi="楷体_GB2312" w:eastAsia="楷体_GB2312" w:cs="楷体_GB2312"/>
          <w:b/>
          <w:bCs/>
          <w:color w:val="auto"/>
          <w:sz w:val="28"/>
          <w:szCs w:val="28"/>
          <w:highlight w:val="none"/>
          <w:lang w:eastAsia="zh-CN"/>
        </w:rPr>
      </w:pPr>
    </w:p>
    <w:p w14:paraId="06E5D624">
      <w:pPr>
        <w:keepNext w:val="0"/>
        <w:keepLines w:val="0"/>
        <w:pageBreakBefore w:val="0"/>
        <w:widowControl w:val="0"/>
        <w:wordWrap/>
        <w:overflowPunct/>
        <w:topLinePunct w:val="0"/>
        <w:bidi w:val="0"/>
        <w:spacing w:line="360" w:lineRule="auto"/>
        <w:ind w:firstLine="3935" w:firstLineChars="1400"/>
        <w:rPr>
          <w:rFonts w:hint="eastAsia" w:ascii="楷体_GB2312" w:hAnsi="楷体_GB2312" w:eastAsia="楷体_GB2312" w:cs="楷体_GB2312"/>
          <w:b/>
          <w:bCs/>
          <w:color w:val="auto"/>
          <w:sz w:val="28"/>
          <w:szCs w:val="28"/>
          <w:highlight w:val="none"/>
          <w:lang w:eastAsia="zh-CN"/>
        </w:rPr>
      </w:pPr>
    </w:p>
    <w:p w14:paraId="06B2B847">
      <w:pPr>
        <w:keepNext w:val="0"/>
        <w:keepLines w:val="0"/>
        <w:pageBreakBefore w:val="0"/>
        <w:widowControl w:val="0"/>
        <w:wordWrap/>
        <w:overflowPunct/>
        <w:topLinePunct w:val="0"/>
        <w:bidi w:val="0"/>
        <w:spacing w:line="360" w:lineRule="auto"/>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58C3AE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2025年7月25</w:t>
      </w:r>
      <w:r>
        <w:rPr>
          <w:rFonts w:hint="eastAsia" w:ascii="楷体_GB2312" w:hAnsi="楷体_GB2312" w:eastAsia="楷体_GB2312" w:cs="楷体_GB2312"/>
          <w:bCs/>
          <w:color w:val="auto"/>
          <w:sz w:val="28"/>
          <w:szCs w:val="28"/>
          <w:highlight w:val="none"/>
        </w:rPr>
        <w:t>日</w:t>
      </w:r>
    </w:p>
    <w:p w14:paraId="57B593A3">
      <w:pPr>
        <w:rPr>
          <w:rFonts w:hint="eastAsia"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rPr>
        <w:br w:type="page"/>
      </w:r>
    </w:p>
    <w:p w14:paraId="2DF53F85">
      <w:pPr>
        <w:pStyle w:val="5"/>
        <w:spacing w:before="0" w:after="0"/>
        <w:jc w:val="left"/>
        <w:rPr>
          <w:rFonts w:hint="eastAsia" w:ascii="楷体_GB2312" w:hAnsi="楷体_GB2312" w:eastAsia="楷体_GB2312" w:cs="楷体_GB2312"/>
          <w:snapToGrid w:val="0"/>
          <w:color w:val="auto"/>
          <w:kern w:val="0"/>
          <w:sz w:val="28"/>
          <w:szCs w:val="28"/>
          <w:highlight w:val="none"/>
          <w:lang w:val="en-US" w:eastAsia="zh-CN" w:bidi="ar-SA"/>
        </w:rPr>
      </w:pPr>
      <w:r>
        <w:rPr>
          <w:rFonts w:hint="eastAsia" w:ascii="楷体_GB2312" w:hAnsi="楷体_GB2312" w:eastAsia="楷体_GB2312" w:cs="楷体_GB2312"/>
          <w:snapToGrid w:val="0"/>
          <w:color w:val="auto"/>
          <w:kern w:val="0"/>
          <w:sz w:val="28"/>
          <w:szCs w:val="28"/>
          <w:highlight w:val="none"/>
          <w:lang w:val="en-US" w:eastAsia="zh-CN" w:bidi="ar-SA"/>
        </w:rPr>
        <w:t>附件3：</w:t>
      </w:r>
      <w:bookmarkStart w:id="0" w:name="_Toc168665051"/>
    </w:p>
    <w:p w14:paraId="03E4C70B">
      <w:pPr>
        <w:pStyle w:val="5"/>
        <w:spacing w:before="0" w:after="0"/>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项目说明、采购要求</w:t>
      </w:r>
    </w:p>
    <w:p w14:paraId="24CDDF7E">
      <w:pPr>
        <w:keepNext w:val="0"/>
        <w:keepLines w:val="0"/>
        <w:pageBreakBefore w:val="0"/>
        <w:widowControl w:val="0"/>
        <w:kinsoku/>
        <w:wordWrap/>
        <w:overflowPunct/>
        <w:topLinePunct w:val="0"/>
        <w:autoSpaceDE/>
        <w:autoSpaceDN/>
        <w:bidi w:val="0"/>
        <w:adjustRightInd/>
        <w:snapToGrid/>
        <w:spacing w:line="336" w:lineRule="auto"/>
        <w:ind w:right="0" w:firstLine="426" w:firstLineChars="177"/>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一、质量标准</w:t>
      </w:r>
    </w:p>
    <w:p w14:paraId="1090C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合格，满足项目及招标人要求，符合现行规范和标准。</w:t>
      </w:r>
      <w:r>
        <w:rPr>
          <w:rFonts w:hint="eastAsia" w:ascii="仿宋" w:hAnsi="仿宋" w:eastAsia="仿宋"/>
          <w:color w:val="auto"/>
          <w:sz w:val="24"/>
          <w:highlight w:val="none"/>
          <w:lang w:val="en-US" w:eastAsia="zh-CN"/>
        </w:rPr>
        <w:t>混凝土强度满足C25混凝土要求。</w:t>
      </w:r>
    </w:p>
    <w:p w14:paraId="33709B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采购</w:t>
      </w:r>
      <w:r>
        <w:rPr>
          <w:rFonts w:hint="eastAsia" w:ascii="仿宋" w:hAnsi="仿宋" w:eastAsia="仿宋" w:cs="仿宋"/>
          <w:b/>
          <w:color w:val="auto"/>
          <w:sz w:val="24"/>
          <w:highlight w:val="none"/>
        </w:rPr>
        <w:t>要求</w:t>
      </w:r>
    </w:p>
    <w:p w14:paraId="6FD0A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color w:val="auto"/>
          <w:sz w:val="24"/>
          <w:szCs w:val="24"/>
          <w:highlight w:val="none"/>
        </w:rPr>
      </w:pPr>
      <w:r>
        <w:rPr>
          <w:rFonts w:hint="eastAsia" w:ascii="仿宋" w:hAnsi="仿宋" w:eastAsia="仿宋" w:cs="宋体"/>
          <w:color w:val="auto"/>
          <w:kern w:val="0"/>
          <w:sz w:val="24"/>
          <w:highlight w:val="none"/>
        </w:rPr>
        <w:t>中标单位应保证其提供的货物</w:t>
      </w:r>
      <w:r>
        <w:rPr>
          <w:rFonts w:hint="eastAsia" w:ascii="仿宋" w:hAnsi="仿宋" w:eastAsia="仿宋" w:cs="宋体"/>
          <w:bCs/>
          <w:color w:val="auto"/>
          <w:kern w:val="0"/>
          <w:sz w:val="24"/>
          <w:highlight w:val="none"/>
        </w:rPr>
        <w:t>达到</w:t>
      </w:r>
      <w:r>
        <w:rPr>
          <w:rFonts w:hint="eastAsia" w:ascii="仿宋" w:hAnsi="仿宋" w:eastAsia="仿宋" w:cs="宋体"/>
          <w:color w:val="auto"/>
          <w:sz w:val="24"/>
          <w:szCs w:val="24"/>
          <w:highlight w:val="none"/>
        </w:rPr>
        <w:t>合格标准，符合国家、行业、地方标准和</w:t>
      </w:r>
      <w:r>
        <w:rPr>
          <w:rFonts w:hint="eastAsia" w:ascii="仿宋" w:hAnsi="仿宋" w:eastAsia="仿宋" w:cs="宋体"/>
          <w:color w:val="auto"/>
          <w:sz w:val="24"/>
          <w:szCs w:val="24"/>
          <w:highlight w:val="none"/>
          <w:lang w:eastAsia="zh-CN"/>
        </w:rPr>
        <w:t>采购人</w:t>
      </w:r>
      <w:r>
        <w:rPr>
          <w:rFonts w:hint="eastAsia" w:ascii="仿宋" w:hAnsi="仿宋" w:eastAsia="仿宋" w:cs="宋体"/>
          <w:color w:val="auto"/>
          <w:sz w:val="24"/>
          <w:szCs w:val="24"/>
          <w:highlight w:val="none"/>
        </w:rPr>
        <w:t>实际要求。</w:t>
      </w:r>
    </w:p>
    <w:bookmarkEnd w:id="0"/>
    <w:p w14:paraId="585CC26F">
      <w:pPr>
        <w:keepNext w:val="0"/>
        <w:keepLines w:val="0"/>
        <w:pageBreakBefore w:val="0"/>
        <w:widowControl w:val="0"/>
        <w:kinsoku/>
        <w:wordWrap/>
        <w:overflowPunct/>
        <w:topLinePunct w:val="0"/>
        <w:bidi w:val="0"/>
        <w:snapToGrid/>
        <w:spacing w:line="336" w:lineRule="auto"/>
        <w:ind w:firstLine="482" w:firstLineChars="200"/>
        <w:jc w:val="lef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三</w:t>
      </w:r>
      <w:r>
        <w:rPr>
          <w:rFonts w:ascii="仿宋" w:hAnsi="仿宋" w:eastAsia="仿宋" w:cs="仿宋"/>
          <w:b/>
          <w:bCs/>
          <w:color w:val="auto"/>
          <w:sz w:val="24"/>
          <w:highlight w:val="none"/>
        </w:rPr>
        <w:t>、货物验收标准</w:t>
      </w:r>
    </w:p>
    <w:p w14:paraId="29A881BA">
      <w:pPr>
        <w:keepNext w:val="0"/>
        <w:keepLines w:val="0"/>
        <w:pageBreakBefore w:val="0"/>
        <w:widowControl w:val="0"/>
        <w:kinsoku/>
        <w:wordWrap/>
        <w:overflowPunct/>
        <w:topLinePunct w:val="0"/>
        <w:bidi w:val="0"/>
        <w:snapToGrid/>
        <w:spacing w:line="336" w:lineRule="auto"/>
        <w:ind w:firstLine="480" w:firstLineChars="200"/>
        <w:textAlignment w:val="auto"/>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1、货物验收：验收由采购人、</w:t>
      </w:r>
      <w:r>
        <w:rPr>
          <w:rFonts w:hint="eastAsia" w:ascii="仿宋" w:hAnsi="仿宋" w:eastAsia="仿宋" w:cs="Times New Roman"/>
          <w:color w:val="auto"/>
          <w:sz w:val="24"/>
          <w:szCs w:val="24"/>
          <w:highlight w:val="none"/>
          <w:lang w:val="en-US" w:eastAsia="zh-CN"/>
        </w:rPr>
        <w:t>中标人</w:t>
      </w:r>
      <w:r>
        <w:rPr>
          <w:rFonts w:hint="eastAsia" w:ascii="仿宋" w:hAnsi="仿宋" w:eastAsia="仿宋" w:cs="Times New Roman"/>
          <w:color w:val="auto"/>
          <w:sz w:val="24"/>
          <w:szCs w:val="24"/>
          <w:highlight w:val="none"/>
          <w:lang w:val="zh-CN"/>
        </w:rPr>
        <w:t>及相关部门人员依据国家有关标准、合同及有关附件要求进行并现场进行检验。对货物质量不达标的，采购人有权终止合同，更换</w:t>
      </w:r>
      <w:r>
        <w:rPr>
          <w:rFonts w:hint="eastAsia" w:ascii="仿宋" w:hAnsi="仿宋" w:eastAsia="仿宋" w:cs="Times New Roman"/>
          <w:color w:val="auto"/>
          <w:sz w:val="24"/>
          <w:szCs w:val="24"/>
          <w:highlight w:val="none"/>
          <w:lang w:val="en-US" w:eastAsia="zh-CN"/>
        </w:rPr>
        <w:t>成交</w:t>
      </w:r>
      <w:r>
        <w:rPr>
          <w:rFonts w:hint="eastAsia" w:ascii="仿宋" w:hAnsi="仿宋" w:eastAsia="仿宋" w:cs="Times New Roman"/>
          <w:color w:val="auto"/>
          <w:sz w:val="24"/>
          <w:szCs w:val="24"/>
          <w:highlight w:val="none"/>
          <w:lang w:val="zh-CN"/>
        </w:rPr>
        <w:t>单位，由此造成的损失由</w:t>
      </w:r>
      <w:r>
        <w:rPr>
          <w:rFonts w:hint="eastAsia" w:ascii="仿宋" w:hAnsi="仿宋" w:eastAsia="仿宋" w:cs="Times New Roman"/>
          <w:color w:val="auto"/>
          <w:sz w:val="24"/>
          <w:szCs w:val="24"/>
          <w:highlight w:val="none"/>
          <w:lang w:val="en-US" w:eastAsia="zh-CN"/>
        </w:rPr>
        <w:t>成交中标人</w:t>
      </w:r>
      <w:r>
        <w:rPr>
          <w:rFonts w:hint="eastAsia" w:ascii="仿宋" w:hAnsi="仿宋" w:eastAsia="仿宋" w:cs="Times New Roman"/>
          <w:color w:val="auto"/>
          <w:sz w:val="24"/>
          <w:szCs w:val="24"/>
          <w:highlight w:val="none"/>
          <w:lang w:val="zh-CN"/>
        </w:rPr>
        <w:t>全部承担，并承担相应违约责任，采购人不承担任何费用。</w:t>
      </w:r>
    </w:p>
    <w:p w14:paraId="3E1F6C19">
      <w:pPr>
        <w:keepNext w:val="0"/>
        <w:keepLines w:val="0"/>
        <w:pageBreakBefore w:val="0"/>
        <w:widowControl w:val="0"/>
        <w:kinsoku/>
        <w:wordWrap/>
        <w:overflowPunct/>
        <w:topLinePunct w:val="0"/>
        <w:bidi w:val="0"/>
        <w:snapToGrid/>
        <w:spacing w:line="336" w:lineRule="auto"/>
        <w:ind w:firstLine="480" w:firstLineChars="200"/>
        <w:textAlignment w:val="auto"/>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2、本项目结算金额根据中标后</w:t>
      </w:r>
      <w:r>
        <w:rPr>
          <w:rFonts w:hint="eastAsia" w:ascii="仿宋" w:hAnsi="仿宋" w:eastAsia="仿宋" w:cs="Times New Roman"/>
          <w:color w:val="auto"/>
          <w:sz w:val="24"/>
          <w:szCs w:val="24"/>
          <w:highlight w:val="none"/>
          <w:lang w:val="en-US" w:eastAsia="zh-CN"/>
        </w:rPr>
        <w:t>中标人</w:t>
      </w:r>
      <w:r>
        <w:rPr>
          <w:rFonts w:hint="eastAsia" w:ascii="仿宋" w:hAnsi="仿宋" w:eastAsia="仿宋" w:cs="Times New Roman"/>
          <w:color w:val="auto"/>
          <w:sz w:val="24"/>
          <w:szCs w:val="24"/>
          <w:highlight w:val="none"/>
          <w:lang w:val="zh-CN"/>
        </w:rPr>
        <w:t xml:space="preserve">与采购人签订的合同单价及具体供货数量确定。 </w:t>
      </w:r>
    </w:p>
    <w:p w14:paraId="6D711AA1">
      <w:pPr>
        <w:keepNext w:val="0"/>
        <w:keepLines w:val="0"/>
        <w:pageBreakBefore w:val="0"/>
        <w:widowControl w:val="0"/>
        <w:kinsoku/>
        <w:wordWrap/>
        <w:overflowPunct/>
        <w:topLinePunct w:val="0"/>
        <w:bidi w:val="0"/>
        <w:snapToGrid/>
        <w:spacing w:line="336" w:lineRule="auto"/>
        <w:ind w:firstLine="482" w:firstLineChars="200"/>
        <w:textAlignment w:val="auto"/>
        <w:rPr>
          <w:rFonts w:ascii="仿宋" w:hAnsi="仿宋" w:eastAsia="仿宋" w:cs="Times New Roman"/>
          <w:b/>
          <w:bCs/>
          <w:color w:val="auto"/>
          <w:sz w:val="24"/>
          <w:szCs w:val="24"/>
          <w:highlight w:val="none"/>
          <w:lang w:val="zh-CN"/>
        </w:rPr>
      </w:pPr>
      <w:r>
        <w:rPr>
          <w:rFonts w:hint="eastAsia" w:ascii="仿宋" w:hAnsi="仿宋" w:eastAsia="仿宋" w:cs="Times New Roman"/>
          <w:b/>
          <w:bCs/>
          <w:color w:val="auto"/>
          <w:sz w:val="24"/>
          <w:szCs w:val="24"/>
          <w:highlight w:val="none"/>
          <w:lang w:val="zh-CN"/>
        </w:rPr>
        <w:t>3、</w:t>
      </w:r>
      <w:r>
        <w:rPr>
          <w:rFonts w:hint="eastAsia" w:ascii="仿宋" w:hAnsi="仿宋" w:eastAsia="仿宋" w:cs="Times New Roman"/>
          <w:b/>
          <w:bCs/>
          <w:color w:val="auto"/>
          <w:sz w:val="24"/>
          <w:szCs w:val="24"/>
          <w:highlight w:val="none"/>
          <w:lang w:val="en-US" w:eastAsia="zh-CN"/>
        </w:rPr>
        <w:t>中标</w:t>
      </w:r>
      <w:r>
        <w:rPr>
          <w:rFonts w:hint="eastAsia" w:ascii="仿宋" w:hAnsi="仿宋" w:eastAsia="仿宋" w:cs="Times New Roman"/>
          <w:b/>
          <w:bCs/>
          <w:color w:val="auto"/>
          <w:sz w:val="24"/>
          <w:szCs w:val="24"/>
          <w:highlight w:val="none"/>
          <w:lang w:val="zh-CN"/>
        </w:rPr>
        <w:t>人须按时保质保量供货，</w:t>
      </w:r>
      <w:r>
        <w:rPr>
          <w:rFonts w:hint="eastAsia" w:ascii="仿宋" w:hAnsi="仿宋" w:eastAsia="仿宋" w:cs="Times New Roman"/>
          <w:b/>
          <w:bCs/>
          <w:color w:val="auto"/>
          <w:sz w:val="24"/>
          <w:szCs w:val="24"/>
          <w:highlight w:val="none"/>
          <w:lang w:val="en-US" w:eastAsia="zh-CN"/>
        </w:rPr>
        <w:t>供货时需提供本批货物的产品合格证书，</w:t>
      </w:r>
      <w:r>
        <w:rPr>
          <w:rFonts w:hint="eastAsia" w:ascii="仿宋" w:hAnsi="仿宋" w:eastAsia="仿宋" w:cs="Times New Roman"/>
          <w:b/>
          <w:bCs/>
          <w:color w:val="auto"/>
          <w:sz w:val="24"/>
          <w:szCs w:val="24"/>
          <w:highlight w:val="none"/>
          <w:lang w:val="zh-CN"/>
        </w:rPr>
        <w:t>供货期间实行一车一留样，试验室随机抽检，如抽检货物不合格</w:t>
      </w:r>
      <w:r>
        <w:rPr>
          <w:rFonts w:hint="eastAsia" w:ascii="仿宋" w:hAnsi="仿宋" w:eastAsia="仿宋" w:cs="Times New Roman"/>
          <w:b/>
          <w:bCs/>
          <w:color w:val="auto"/>
          <w:sz w:val="24"/>
          <w:szCs w:val="24"/>
          <w:highlight w:val="none"/>
          <w:lang w:val="en-US" w:eastAsia="zh-CN"/>
        </w:rPr>
        <w:t>，</w:t>
      </w:r>
      <w:r>
        <w:rPr>
          <w:rFonts w:hint="eastAsia" w:ascii="仿宋" w:hAnsi="仿宋" w:eastAsia="仿宋" w:cs="Times New Roman"/>
          <w:b/>
          <w:bCs/>
          <w:color w:val="auto"/>
          <w:sz w:val="24"/>
          <w:szCs w:val="24"/>
          <w:highlight w:val="none"/>
          <w:lang w:val="zh-CN"/>
        </w:rPr>
        <w:t>则判定该</w:t>
      </w:r>
      <w:r>
        <w:rPr>
          <w:rFonts w:hint="eastAsia" w:ascii="仿宋" w:hAnsi="仿宋" w:eastAsia="仿宋" w:cs="Times New Roman"/>
          <w:b/>
          <w:bCs/>
          <w:color w:val="auto"/>
          <w:sz w:val="24"/>
          <w:szCs w:val="24"/>
          <w:highlight w:val="none"/>
          <w:lang w:val="en-US" w:eastAsia="zh-CN"/>
        </w:rPr>
        <w:t>中标</w:t>
      </w:r>
      <w:r>
        <w:rPr>
          <w:rFonts w:hint="eastAsia" w:ascii="仿宋" w:hAnsi="仿宋" w:eastAsia="仿宋" w:cs="Times New Roman"/>
          <w:b/>
          <w:bCs/>
          <w:color w:val="auto"/>
          <w:sz w:val="24"/>
          <w:szCs w:val="24"/>
          <w:highlight w:val="none"/>
          <w:lang w:eastAsia="zh-CN"/>
        </w:rPr>
        <w:t>人</w:t>
      </w:r>
      <w:r>
        <w:rPr>
          <w:rFonts w:hint="eastAsia" w:ascii="仿宋" w:hAnsi="仿宋" w:eastAsia="仿宋" w:cs="Times New Roman"/>
          <w:b/>
          <w:bCs/>
          <w:color w:val="auto"/>
          <w:sz w:val="24"/>
          <w:szCs w:val="24"/>
          <w:highlight w:val="none"/>
          <w:lang w:val="zh-CN"/>
        </w:rPr>
        <w:t>之前</w:t>
      </w:r>
      <w:r>
        <w:rPr>
          <w:rFonts w:hint="eastAsia" w:ascii="仿宋" w:hAnsi="仿宋" w:eastAsia="仿宋" w:cs="Times New Roman"/>
          <w:b/>
          <w:bCs/>
          <w:color w:val="auto"/>
          <w:sz w:val="24"/>
          <w:szCs w:val="24"/>
          <w:highlight w:val="none"/>
        </w:rPr>
        <w:t>所供</w:t>
      </w:r>
      <w:r>
        <w:rPr>
          <w:rFonts w:hint="eastAsia" w:ascii="仿宋" w:hAnsi="仿宋" w:eastAsia="仿宋" w:cs="Times New Roman"/>
          <w:b/>
          <w:bCs/>
          <w:color w:val="auto"/>
          <w:sz w:val="24"/>
          <w:szCs w:val="24"/>
          <w:highlight w:val="none"/>
          <w:lang w:val="zh-CN"/>
        </w:rPr>
        <w:t>货物均不合格，则该</w:t>
      </w:r>
      <w:r>
        <w:rPr>
          <w:rFonts w:hint="eastAsia" w:ascii="仿宋" w:hAnsi="仿宋" w:eastAsia="仿宋" w:cs="Times New Roman"/>
          <w:b/>
          <w:bCs/>
          <w:color w:val="auto"/>
          <w:sz w:val="24"/>
          <w:szCs w:val="24"/>
          <w:highlight w:val="none"/>
          <w:lang w:val="en-US" w:eastAsia="zh-CN"/>
        </w:rPr>
        <w:t>中标人</w:t>
      </w:r>
      <w:r>
        <w:rPr>
          <w:rFonts w:hint="eastAsia" w:ascii="仿宋" w:hAnsi="仿宋" w:eastAsia="仿宋" w:cs="Times New Roman"/>
          <w:b/>
          <w:bCs/>
          <w:color w:val="auto"/>
          <w:sz w:val="24"/>
          <w:szCs w:val="24"/>
          <w:highlight w:val="none"/>
          <w:lang w:val="zh-CN"/>
        </w:rPr>
        <w:t>此类货物未结算部分</w:t>
      </w:r>
      <w:r>
        <w:rPr>
          <w:rFonts w:hint="eastAsia" w:ascii="仿宋" w:hAnsi="仿宋" w:eastAsia="仿宋" w:cs="Times New Roman"/>
          <w:b/>
          <w:bCs/>
          <w:color w:val="auto"/>
          <w:sz w:val="24"/>
          <w:szCs w:val="24"/>
          <w:highlight w:val="none"/>
        </w:rPr>
        <w:t>可</w:t>
      </w:r>
      <w:r>
        <w:rPr>
          <w:rFonts w:hint="eastAsia" w:ascii="仿宋" w:hAnsi="仿宋" w:eastAsia="仿宋" w:cs="Times New Roman"/>
          <w:b/>
          <w:bCs/>
          <w:color w:val="auto"/>
          <w:sz w:val="24"/>
          <w:szCs w:val="24"/>
          <w:highlight w:val="none"/>
          <w:lang w:val="zh-CN"/>
        </w:rPr>
        <w:t>不予结算;</w:t>
      </w:r>
    </w:p>
    <w:p w14:paraId="39F73B70">
      <w:pPr>
        <w:keepNext w:val="0"/>
        <w:keepLines w:val="0"/>
        <w:pageBreakBefore w:val="0"/>
        <w:widowControl w:val="0"/>
        <w:kinsoku/>
        <w:wordWrap/>
        <w:overflowPunct/>
        <w:topLinePunct w:val="0"/>
        <w:bidi w:val="0"/>
        <w:snapToGrid/>
        <w:spacing w:line="336" w:lineRule="auto"/>
        <w:ind w:firstLine="480" w:firstLineChars="200"/>
        <w:textAlignment w:val="auto"/>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4、在运输起止过程中，</w:t>
      </w:r>
      <w:r>
        <w:rPr>
          <w:rFonts w:hint="eastAsia" w:ascii="仿宋" w:hAnsi="仿宋" w:eastAsia="仿宋" w:cs="仿宋"/>
          <w:color w:val="auto"/>
          <w:sz w:val="24"/>
          <w:szCs w:val="20"/>
          <w:highlight w:val="none"/>
          <w:lang w:val="en-US" w:eastAsia="zh-CN"/>
        </w:rPr>
        <w:t>中标单位</w:t>
      </w:r>
      <w:r>
        <w:rPr>
          <w:rFonts w:hint="eastAsia" w:ascii="仿宋" w:hAnsi="仿宋" w:eastAsia="仿宋" w:cs="仿宋"/>
          <w:color w:val="auto"/>
          <w:sz w:val="24"/>
          <w:szCs w:val="20"/>
          <w:highlight w:val="none"/>
        </w:rPr>
        <w:t>运输车辆需听从调度，做到安全、文明施工，因不服从调度或车辆运输等安全措施不完备造成的安全事故，由</w:t>
      </w:r>
      <w:r>
        <w:rPr>
          <w:rFonts w:hint="eastAsia" w:ascii="仿宋" w:hAnsi="仿宋" w:eastAsia="仿宋" w:cs="仿宋"/>
          <w:color w:val="auto"/>
          <w:sz w:val="24"/>
          <w:szCs w:val="20"/>
          <w:highlight w:val="none"/>
          <w:lang w:val="en-US" w:eastAsia="zh-CN"/>
        </w:rPr>
        <w:t>中标</w:t>
      </w:r>
      <w:r>
        <w:rPr>
          <w:rFonts w:hint="eastAsia" w:ascii="仿宋" w:hAnsi="仿宋" w:eastAsia="仿宋" w:cs="仿宋"/>
          <w:color w:val="auto"/>
          <w:sz w:val="24"/>
          <w:szCs w:val="20"/>
          <w:highlight w:val="none"/>
        </w:rPr>
        <w:t>单位自行承担。</w:t>
      </w:r>
    </w:p>
    <w:p w14:paraId="447EA24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四</w:t>
      </w:r>
      <w:r>
        <w:rPr>
          <w:rFonts w:ascii="仿宋" w:hAnsi="仿宋" w:eastAsia="仿宋" w:cs="仿宋"/>
          <w:b/>
          <w:bCs/>
          <w:color w:val="auto"/>
          <w:sz w:val="24"/>
          <w:highlight w:val="none"/>
        </w:rPr>
        <w:t>、其他要求</w:t>
      </w:r>
    </w:p>
    <w:p w14:paraId="46E6103E">
      <w:pPr>
        <w:keepNext w:val="0"/>
        <w:keepLines w:val="0"/>
        <w:pageBreakBefore w:val="0"/>
        <w:widowControl w:val="0"/>
        <w:tabs>
          <w:tab w:val="left" w:pos="8222"/>
        </w:tabs>
        <w:kinsoku/>
        <w:wordWrap/>
        <w:overflowPunct/>
        <w:topLinePunct w:val="0"/>
        <w:bidi w:val="0"/>
        <w:snapToGrid/>
        <w:spacing w:line="336" w:lineRule="auto"/>
        <w:ind w:firstLine="439" w:firstLineChars="183"/>
        <w:textAlignment w:val="auto"/>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1、若</w:t>
      </w:r>
      <w:r>
        <w:rPr>
          <w:rFonts w:hint="eastAsia" w:ascii="仿宋" w:hAnsi="仿宋" w:eastAsia="仿宋" w:cs="Times New Roman"/>
          <w:color w:val="auto"/>
          <w:sz w:val="24"/>
          <w:szCs w:val="24"/>
          <w:highlight w:val="none"/>
          <w:lang w:val="en-US" w:eastAsia="zh-CN"/>
        </w:rPr>
        <w:t>中标</w:t>
      </w:r>
      <w:r>
        <w:rPr>
          <w:rFonts w:hint="eastAsia" w:ascii="仿宋" w:hAnsi="仿宋" w:eastAsia="仿宋" w:cs="Times New Roman"/>
          <w:color w:val="auto"/>
          <w:sz w:val="24"/>
          <w:szCs w:val="24"/>
          <w:highlight w:val="none"/>
          <w:lang w:eastAsia="zh-CN"/>
        </w:rPr>
        <w:t>人</w:t>
      </w:r>
      <w:r>
        <w:rPr>
          <w:rFonts w:ascii="仿宋" w:hAnsi="仿宋" w:eastAsia="仿宋" w:cs="Times New Roman"/>
          <w:color w:val="auto"/>
          <w:sz w:val="24"/>
          <w:szCs w:val="24"/>
          <w:highlight w:val="none"/>
          <w:lang w:val="zh-CN"/>
        </w:rPr>
        <w:t>因供货，对周围环境、周围住户正常生产生活造成干扰和破坏所导</w:t>
      </w:r>
      <w:r>
        <w:rPr>
          <w:rFonts w:ascii="仿宋" w:hAnsi="仿宋" w:eastAsia="仿宋" w:cs="Times New Roman"/>
          <w:color w:val="auto"/>
          <w:spacing w:val="-10"/>
          <w:sz w:val="24"/>
          <w:szCs w:val="24"/>
          <w:highlight w:val="none"/>
          <w:lang w:val="zh-CN"/>
        </w:rPr>
        <w:t>致的矛盾，须自行采取措施进行各项事宜的疏通、修复，同时应保证</w:t>
      </w:r>
      <w:r>
        <w:rPr>
          <w:rFonts w:hint="eastAsia" w:ascii="仿宋" w:hAnsi="仿宋" w:eastAsia="仿宋" w:cs="Times New Roman"/>
          <w:color w:val="auto"/>
          <w:spacing w:val="-10"/>
          <w:sz w:val="24"/>
          <w:szCs w:val="24"/>
          <w:highlight w:val="none"/>
          <w:lang w:val="zh-CN"/>
        </w:rPr>
        <w:t>采购人</w:t>
      </w:r>
      <w:r>
        <w:rPr>
          <w:rFonts w:ascii="仿宋" w:hAnsi="仿宋" w:eastAsia="仿宋" w:cs="Times New Roman"/>
          <w:color w:val="auto"/>
          <w:spacing w:val="-10"/>
          <w:sz w:val="24"/>
          <w:szCs w:val="24"/>
          <w:highlight w:val="none"/>
          <w:lang w:val="zh-CN"/>
        </w:rPr>
        <w:t>免于</w:t>
      </w:r>
      <w:r>
        <w:rPr>
          <w:rFonts w:ascii="仿宋" w:hAnsi="仿宋" w:eastAsia="仿宋" w:cs="Times New Roman"/>
          <w:color w:val="auto"/>
          <w:spacing w:val="-8"/>
          <w:sz w:val="24"/>
          <w:szCs w:val="24"/>
          <w:highlight w:val="none"/>
          <w:lang w:val="zh-CN"/>
        </w:rPr>
        <w:t>受到与之相关的索赔、诉讼等，不允许因此造成供货延误，如因此致使工期延误</w:t>
      </w:r>
      <w:r>
        <w:rPr>
          <w:rFonts w:ascii="仿宋" w:hAnsi="仿宋" w:eastAsia="仿宋" w:cs="Times New Roman"/>
          <w:color w:val="auto"/>
          <w:sz w:val="24"/>
          <w:szCs w:val="24"/>
          <w:highlight w:val="none"/>
          <w:lang w:val="zh-CN"/>
        </w:rPr>
        <w:t>所产生的后果由</w:t>
      </w:r>
      <w:r>
        <w:rPr>
          <w:rFonts w:hint="eastAsia" w:ascii="仿宋" w:hAnsi="仿宋" w:eastAsia="仿宋" w:cs="Times New Roman"/>
          <w:color w:val="auto"/>
          <w:sz w:val="24"/>
          <w:szCs w:val="24"/>
          <w:highlight w:val="none"/>
          <w:lang w:val="en-US" w:eastAsia="zh-CN"/>
        </w:rPr>
        <w:t>中标</w:t>
      </w:r>
      <w:r>
        <w:rPr>
          <w:rFonts w:hint="eastAsia" w:ascii="仿宋" w:hAnsi="仿宋" w:eastAsia="仿宋" w:cs="Times New Roman"/>
          <w:color w:val="auto"/>
          <w:sz w:val="24"/>
          <w:szCs w:val="24"/>
          <w:highlight w:val="none"/>
          <w:lang w:eastAsia="zh-CN"/>
        </w:rPr>
        <w:t>人</w:t>
      </w:r>
      <w:r>
        <w:rPr>
          <w:rFonts w:ascii="仿宋" w:hAnsi="仿宋" w:eastAsia="仿宋" w:cs="Times New Roman"/>
          <w:color w:val="auto"/>
          <w:sz w:val="24"/>
          <w:szCs w:val="24"/>
          <w:highlight w:val="none"/>
          <w:lang w:val="zh-CN"/>
        </w:rPr>
        <w:t xml:space="preserve">自行承担。 </w:t>
      </w:r>
    </w:p>
    <w:p w14:paraId="14441A97">
      <w:pPr>
        <w:keepNext w:val="0"/>
        <w:keepLines w:val="0"/>
        <w:pageBreakBefore w:val="0"/>
        <w:widowControl w:val="0"/>
        <w:kinsoku/>
        <w:wordWrap/>
        <w:overflowPunct/>
        <w:topLinePunct w:val="0"/>
        <w:autoSpaceDE/>
        <w:autoSpaceDN/>
        <w:bidi w:val="0"/>
        <w:adjustRightInd/>
        <w:snapToGrid/>
        <w:spacing w:line="336" w:lineRule="auto"/>
        <w:ind w:right="0" w:firstLine="424" w:firstLineChars="17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2、若在</w:t>
      </w:r>
      <w:r>
        <w:rPr>
          <w:rFonts w:hint="eastAsia" w:ascii="仿宋" w:hAnsi="仿宋" w:eastAsia="仿宋" w:cs="仿宋"/>
          <w:color w:val="auto"/>
          <w:sz w:val="24"/>
          <w:highlight w:val="none"/>
          <w:lang w:val="en-US" w:eastAsia="zh-CN"/>
        </w:rPr>
        <w:t>供货期</w:t>
      </w:r>
      <w:r>
        <w:rPr>
          <w:rFonts w:hint="eastAsia" w:ascii="仿宋" w:hAnsi="仿宋" w:eastAsia="仿宋" w:cs="仿宋"/>
          <w:color w:val="auto"/>
          <w:sz w:val="24"/>
          <w:highlight w:val="none"/>
        </w:rPr>
        <w:t>内商品出现质量问题，应立即调换新的</w:t>
      </w:r>
      <w:r>
        <w:rPr>
          <w:rFonts w:hint="eastAsia" w:ascii="仿宋" w:hAnsi="仿宋" w:eastAsia="仿宋" w:cs="仿宋"/>
          <w:color w:val="auto"/>
          <w:sz w:val="24"/>
          <w:highlight w:val="none"/>
          <w:lang w:val="en-US" w:eastAsia="zh-CN"/>
        </w:rPr>
        <w:t>合格产品运</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施工现场，以达到</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的正常施工需求。</w:t>
      </w:r>
    </w:p>
    <w:p w14:paraId="17FBF7A0">
      <w:pPr>
        <w:pStyle w:val="2"/>
        <w:ind w:left="0" w:leftChars="0" w:firstLine="0" w:firstLineChars="0"/>
        <w:rPr>
          <w:rFonts w:hint="default" w:ascii="楷体_GB2312" w:hAnsi="楷体_GB2312" w:eastAsia="楷体_GB2312" w:cs="楷体_GB2312"/>
          <w:snapToGrid w:val="0"/>
          <w:color w:val="auto"/>
          <w:kern w:val="0"/>
          <w:sz w:val="28"/>
          <w:szCs w:val="28"/>
          <w:highlight w:val="none"/>
          <w:lang w:val="en-US" w:eastAsia="zh-CN" w:bidi="ar-SA"/>
        </w:rPr>
      </w:pPr>
      <w:r>
        <w:rPr>
          <w:rFonts w:ascii="仿宋" w:hAnsi="仿宋" w:eastAsia="仿宋" w:cs="仿宋"/>
          <w:color w:val="auto"/>
          <w:sz w:val="24"/>
          <w:szCs w:val="24"/>
          <w:highlight w:val="none"/>
        </w:rPr>
        <w:t>注：项目描述未尽事宜</w:t>
      </w:r>
      <w:r>
        <w:rPr>
          <w:rFonts w:hint="eastAsia" w:ascii="仿宋" w:hAnsi="仿宋" w:eastAsia="仿宋" w:cs="仿宋"/>
          <w:color w:val="auto"/>
          <w:sz w:val="24"/>
          <w:szCs w:val="24"/>
          <w:highlight w:val="none"/>
          <w:lang w:eastAsia="zh-CN"/>
        </w:rPr>
        <w:t>中标人</w:t>
      </w:r>
      <w:r>
        <w:rPr>
          <w:rFonts w:ascii="仿宋" w:hAnsi="仿宋" w:eastAsia="仿宋" w:cs="仿宋"/>
          <w:color w:val="auto"/>
          <w:sz w:val="24"/>
          <w:szCs w:val="24"/>
          <w:highlight w:val="none"/>
        </w:rPr>
        <w:t>须与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沟通确定</w:t>
      </w:r>
    </w:p>
    <w:sectPr>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Q0ZDA3MjZhYTllMGE0MzAzYzJlMmFkZDg5ZTMifQ=="/>
  </w:docVars>
  <w:rsids>
    <w:rsidRoot w:val="00000000"/>
    <w:rsid w:val="00305CE7"/>
    <w:rsid w:val="00F9257D"/>
    <w:rsid w:val="013B2B96"/>
    <w:rsid w:val="014B4F11"/>
    <w:rsid w:val="018F4C90"/>
    <w:rsid w:val="01E943A0"/>
    <w:rsid w:val="01EA636A"/>
    <w:rsid w:val="0236335D"/>
    <w:rsid w:val="0256755B"/>
    <w:rsid w:val="028D34A0"/>
    <w:rsid w:val="029A1B3E"/>
    <w:rsid w:val="03535B3A"/>
    <w:rsid w:val="03600692"/>
    <w:rsid w:val="038325D2"/>
    <w:rsid w:val="03CD1A9F"/>
    <w:rsid w:val="04A8683A"/>
    <w:rsid w:val="04B54A0D"/>
    <w:rsid w:val="04EB042F"/>
    <w:rsid w:val="04EC075D"/>
    <w:rsid w:val="050E411D"/>
    <w:rsid w:val="0549044B"/>
    <w:rsid w:val="05834B0B"/>
    <w:rsid w:val="059C3944"/>
    <w:rsid w:val="05AA653C"/>
    <w:rsid w:val="05F532CC"/>
    <w:rsid w:val="062F259D"/>
    <w:rsid w:val="0639341C"/>
    <w:rsid w:val="063D157C"/>
    <w:rsid w:val="069074E0"/>
    <w:rsid w:val="06BA35C6"/>
    <w:rsid w:val="06C00ECA"/>
    <w:rsid w:val="06CC603E"/>
    <w:rsid w:val="06E710CA"/>
    <w:rsid w:val="0705758B"/>
    <w:rsid w:val="07477F96"/>
    <w:rsid w:val="07520C39"/>
    <w:rsid w:val="078E3460"/>
    <w:rsid w:val="07A7025C"/>
    <w:rsid w:val="07C75183"/>
    <w:rsid w:val="07F43A9E"/>
    <w:rsid w:val="082F4AD6"/>
    <w:rsid w:val="08365E65"/>
    <w:rsid w:val="084C5688"/>
    <w:rsid w:val="08AE00F1"/>
    <w:rsid w:val="08D51B22"/>
    <w:rsid w:val="0968374C"/>
    <w:rsid w:val="09B259BF"/>
    <w:rsid w:val="09D122E9"/>
    <w:rsid w:val="09DA375A"/>
    <w:rsid w:val="09DD2A0F"/>
    <w:rsid w:val="0A00672A"/>
    <w:rsid w:val="0A333843"/>
    <w:rsid w:val="0A6C2012"/>
    <w:rsid w:val="0ACB31DC"/>
    <w:rsid w:val="0AD33E3F"/>
    <w:rsid w:val="0AD96F7B"/>
    <w:rsid w:val="0AF3003D"/>
    <w:rsid w:val="0B04049C"/>
    <w:rsid w:val="0B100BEF"/>
    <w:rsid w:val="0B50723E"/>
    <w:rsid w:val="0B512FB6"/>
    <w:rsid w:val="0B6E1DBA"/>
    <w:rsid w:val="0BD460C1"/>
    <w:rsid w:val="0BDE0CED"/>
    <w:rsid w:val="0BF27C65"/>
    <w:rsid w:val="0C0D3381"/>
    <w:rsid w:val="0C1C614B"/>
    <w:rsid w:val="0C4067A4"/>
    <w:rsid w:val="0C4843B9"/>
    <w:rsid w:val="0C8A299C"/>
    <w:rsid w:val="0E10224B"/>
    <w:rsid w:val="0E1D302B"/>
    <w:rsid w:val="0E5858AB"/>
    <w:rsid w:val="0E9D4E90"/>
    <w:rsid w:val="0EA96E94"/>
    <w:rsid w:val="0F3B0205"/>
    <w:rsid w:val="0F76123D"/>
    <w:rsid w:val="0F865924"/>
    <w:rsid w:val="0F8751F8"/>
    <w:rsid w:val="0FB12275"/>
    <w:rsid w:val="1057170E"/>
    <w:rsid w:val="11A16A45"/>
    <w:rsid w:val="11B31475"/>
    <w:rsid w:val="11EC3A38"/>
    <w:rsid w:val="12295ADC"/>
    <w:rsid w:val="12771554"/>
    <w:rsid w:val="128A6C79"/>
    <w:rsid w:val="12940D55"/>
    <w:rsid w:val="12EA441C"/>
    <w:rsid w:val="13053A34"/>
    <w:rsid w:val="133631BD"/>
    <w:rsid w:val="13824654"/>
    <w:rsid w:val="14131955"/>
    <w:rsid w:val="14151024"/>
    <w:rsid w:val="14291E81"/>
    <w:rsid w:val="14B7657F"/>
    <w:rsid w:val="14BE16BC"/>
    <w:rsid w:val="14E336E2"/>
    <w:rsid w:val="14E86739"/>
    <w:rsid w:val="14F83B2E"/>
    <w:rsid w:val="155C2C83"/>
    <w:rsid w:val="15B036FB"/>
    <w:rsid w:val="15F64E85"/>
    <w:rsid w:val="16113A6D"/>
    <w:rsid w:val="16B26FFE"/>
    <w:rsid w:val="16C84A74"/>
    <w:rsid w:val="16D51F60"/>
    <w:rsid w:val="172064DE"/>
    <w:rsid w:val="17F13B56"/>
    <w:rsid w:val="184243B2"/>
    <w:rsid w:val="186D585F"/>
    <w:rsid w:val="18876269"/>
    <w:rsid w:val="18BB10A8"/>
    <w:rsid w:val="18F94A8C"/>
    <w:rsid w:val="19143FA0"/>
    <w:rsid w:val="193C136B"/>
    <w:rsid w:val="19A075E2"/>
    <w:rsid w:val="19BB266E"/>
    <w:rsid w:val="19CA465F"/>
    <w:rsid w:val="19D06618"/>
    <w:rsid w:val="19F416DC"/>
    <w:rsid w:val="1A53412E"/>
    <w:rsid w:val="1A5403CD"/>
    <w:rsid w:val="1AB33C33"/>
    <w:rsid w:val="1B3426D8"/>
    <w:rsid w:val="1B8D3B96"/>
    <w:rsid w:val="1B9B090D"/>
    <w:rsid w:val="1C314E69"/>
    <w:rsid w:val="1D293D92"/>
    <w:rsid w:val="1D5C7CC4"/>
    <w:rsid w:val="1DBB3CD2"/>
    <w:rsid w:val="1DE32193"/>
    <w:rsid w:val="1DE33295"/>
    <w:rsid w:val="1DE33F41"/>
    <w:rsid w:val="1E217E45"/>
    <w:rsid w:val="1E6D112D"/>
    <w:rsid w:val="1EDF0BAD"/>
    <w:rsid w:val="1F3A4035"/>
    <w:rsid w:val="1F7E6617"/>
    <w:rsid w:val="1FB0621F"/>
    <w:rsid w:val="1FE16BA6"/>
    <w:rsid w:val="1FFA090A"/>
    <w:rsid w:val="200E0542"/>
    <w:rsid w:val="20123639"/>
    <w:rsid w:val="20541126"/>
    <w:rsid w:val="20931C4F"/>
    <w:rsid w:val="20C718F8"/>
    <w:rsid w:val="20EF6140"/>
    <w:rsid w:val="210E7527"/>
    <w:rsid w:val="211B39F2"/>
    <w:rsid w:val="217211A4"/>
    <w:rsid w:val="21AA2676"/>
    <w:rsid w:val="21B31E7D"/>
    <w:rsid w:val="21C5554D"/>
    <w:rsid w:val="2237485C"/>
    <w:rsid w:val="228D7391"/>
    <w:rsid w:val="233139A1"/>
    <w:rsid w:val="23492A98"/>
    <w:rsid w:val="23757D31"/>
    <w:rsid w:val="23D507D0"/>
    <w:rsid w:val="2446522A"/>
    <w:rsid w:val="245E07C6"/>
    <w:rsid w:val="2472773E"/>
    <w:rsid w:val="24961D0D"/>
    <w:rsid w:val="249A2612"/>
    <w:rsid w:val="25201F1F"/>
    <w:rsid w:val="253941A1"/>
    <w:rsid w:val="255B4D05"/>
    <w:rsid w:val="258C4EBE"/>
    <w:rsid w:val="25AC5561"/>
    <w:rsid w:val="26065FE5"/>
    <w:rsid w:val="26881571"/>
    <w:rsid w:val="26F94014"/>
    <w:rsid w:val="27204CFD"/>
    <w:rsid w:val="28AD3ACA"/>
    <w:rsid w:val="28FC05AD"/>
    <w:rsid w:val="29003BF9"/>
    <w:rsid w:val="29253660"/>
    <w:rsid w:val="29626662"/>
    <w:rsid w:val="29874D52"/>
    <w:rsid w:val="2A720EF9"/>
    <w:rsid w:val="2A992557"/>
    <w:rsid w:val="2AED3DAA"/>
    <w:rsid w:val="2B481888"/>
    <w:rsid w:val="2B990335"/>
    <w:rsid w:val="2BCA4992"/>
    <w:rsid w:val="2BE76212"/>
    <w:rsid w:val="2C1F4808"/>
    <w:rsid w:val="2C3A4A08"/>
    <w:rsid w:val="2C4B7881"/>
    <w:rsid w:val="2C8132A3"/>
    <w:rsid w:val="2CBC42DB"/>
    <w:rsid w:val="2CF63BFC"/>
    <w:rsid w:val="2CFC5020"/>
    <w:rsid w:val="2D0E31F8"/>
    <w:rsid w:val="2D5A4AA8"/>
    <w:rsid w:val="2DB31A09"/>
    <w:rsid w:val="2DD90EBD"/>
    <w:rsid w:val="2E1D524D"/>
    <w:rsid w:val="2E5557C6"/>
    <w:rsid w:val="2F671E9A"/>
    <w:rsid w:val="2F8A6913"/>
    <w:rsid w:val="304E1FC2"/>
    <w:rsid w:val="307153DD"/>
    <w:rsid w:val="30F46739"/>
    <w:rsid w:val="312B5ED3"/>
    <w:rsid w:val="31812575"/>
    <w:rsid w:val="318850D4"/>
    <w:rsid w:val="31DE4CF4"/>
    <w:rsid w:val="322A1CE7"/>
    <w:rsid w:val="32C435E9"/>
    <w:rsid w:val="32D86851"/>
    <w:rsid w:val="33380434"/>
    <w:rsid w:val="33F26834"/>
    <w:rsid w:val="34BF2BBB"/>
    <w:rsid w:val="34C952BD"/>
    <w:rsid w:val="36341386"/>
    <w:rsid w:val="364D069A"/>
    <w:rsid w:val="36527A5E"/>
    <w:rsid w:val="3684230E"/>
    <w:rsid w:val="36857E34"/>
    <w:rsid w:val="36C54B5C"/>
    <w:rsid w:val="36D14E27"/>
    <w:rsid w:val="37432BA4"/>
    <w:rsid w:val="377A101B"/>
    <w:rsid w:val="37E87E3B"/>
    <w:rsid w:val="37FC6B7F"/>
    <w:rsid w:val="38717C0E"/>
    <w:rsid w:val="38871C41"/>
    <w:rsid w:val="38AA5930"/>
    <w:rsid w:val="39534219"/>
    <w:rsid w:val="39B07FE2"/>
    <w:rsid w:val="39DC5FBD"/>
    <w:rsid w:val="3A0936D4"/>
    <w:rsid w:val="3A1439A9"/>
    <w:rsid w:val="3A79317C"/>
    <w:rsid w:val="3A854A54"/>
    <w:rsid w:val="3AC161F9"/>
    <w:rsid w:val="3AC32CD9"/>
    <w:rsid w:val="3AF45588"/>
    <w:rsid w:val="3B135A0E"/>
    <w:rsid w:val="3B491430"/>
    <w:rsid w:val="3B6C15C2"/>
    <w:rsid w:val="3BB675BA"/>
    <w:rsid w:val="3BD67C19"/>
    <w:rsid w:val="3BDD601C"/>
    <w:rsid w:val="3BF55114"/>
    <w:rsid w:val="3C463BC1"/>
    <w:rsid w:val="3C862210"/>
    <w:rsid w:val="3C8F7316"/>
    <w:rsid w:val="3C9D242F"/>
    <w:rsid w:val="3CBD4EC8"/>
    <w:rsid w:val="3DA74B34"/>
    <w:rsid w:val="3DF00289"/>
    <w:rsid w:val="3E0203F7"/>
    <w:rsid w:val="3E3B6A3B"/>
    <w:rsid w:val="3E8D0FBC"/>
    <w:rsid w:val="3ED70158"/>
    <w:rsid w:val="3EEF22EE"/>
    <w:rsid w:val="3F2325F1"/>
    <w:rsid w:val="3F5465F5"/>
    <w:rsid w:val="3F822170"/>
    <w:rsid w:val="3F827606"/>
    <w:rsid w:val="3FAE21A9"/>
    <w:rsid w:val="3FB42113"/>
    <w:rsid w:val="3FC03515"/>
    <w:rsid w:val="400B75FC"/>
    <w:rsid w:val="40F55BB6"/>
    <w:rsid w:val="40F63E08"/>
    <w:rsid w:val="414D10F8"/>
    <w:rsid w:val="41766110"/>
    <w:rsid w:val="41A575DC"/>
    <w:rsid w:val="41B65345"/>
    <w:rsid w:val="42221190"/>
    <w:rsid w:val="42B607A6"/>
    <w:rsid w:val="42FF4ACA"/>
    <w:rsid w:val="4392593E"/>
    <w:rsid w:val="43A35F21"/>
    <w:rsid w:val="441733E4"/>
    <w:rsid w:val="447E28E2"/>
    <w:rsid w:val="44BE2E8F"/>
    <w:rsid w:val="44F96720"/>
    <w:rsid w:val="45463E94"/>
    <w:rsid w:val="455A248C"/>
    <w:rsid w:val="4578197C"/>
    <w:rsid w:val="45C53DA9"/>
    <w:rsid w:val="45DE2238"/>
    <w:rsid w:val="461F174E"/>
    <w:rsid w:val="464A2ED4"/>
    <w:rsid w:val="471054F8"/>
    <w:rsid w:val="47A8766B"/>
    <w:rsid w:val="47EA7A68"/>
    <w:rsid w:val="47F6202B"/>
    <w:rsid w:val="48420A18"/>
    <w:rsid w:val="48537D92"/>
    <w:rsid w:val="48B431A9"/>
    <w:rsid w:val="48B9571B"/>
    <w:rsid w:val="490C59BB"/>
    <w:rsid w:val="49221512"/>
    <w:rsid w:val="49634005"/>
    <w:rsid w:val="49971AFC"/>
    <w:rsid w:val="4A062BE2"/>
    <w:rsid w:val="4A5676C5"/>
    <w:rsid w:val="4A9621B8"/>
    <w:rsid w:val="4AB32D6A"/>
    <w:rsid w:val="4AF12DCE"/>
    <w:rsid w:val="4B661B8A"/>
    <w:rsid w:val="4B9061AB"/>
    <w:rsid w:val="4BB45814"/>
    <w:rsid w:val="4BD96800"/>
    <w:rsid w:val="4BDD5BE0"/>
    <w:rsid w:val="4C2D08FA"/>
    <w:rsid w:val="4C9B3AB5"/>
    <w:rsid w:val="4CD82614"/>
    <w:rsid w:val="4D021BEE"/>
    <w:rsid w:val="4D080A48"/>
    <w:rsid w:val="4D4E6D7A"/>
    <w:rsid w:val="4DA93FB0"/>
    <w:rsid w:val="4DBB46A4"/>
    <w:rsid w:val="4DEE5E67"/>
    <w:rsid w:val="4E196024"/>
    <w:rsid w:val="4E30022D"/>
    <w:rsid w:val="4EC15329"/>
    <w:rsid w:val="4EE04760"/>
    <w:rsid w:val="4EFB6A76"/>
    <w:rsid w:val="4F2558B8"/>
    <w:rsid w:val="4F275AD4"/>
    <w:rsid w:val="4F6F4D85"/>
    <w:rsid w:val="4F8A34D2"/>
    <w:rsid w:val="4FB54E8E"/>
    <w:rsid w:val="4FF14039"/>
    <w:rsid w:val="502A0F24"/>
    <w:rsid w:val="511E6BD5"/>
    <w:rsid w:val="51316904"/>
    <w:rsid w:val="519A07DF"/>
    <w:rsid w:val="51AE428B"/>
    <w:rsid w:val="51EC0F1C"/>
    <w:rsid w:val="51EE28D9"/>
    <w:rsid w:val="52884ADC"/>
    <w:rsid w:val="5306231C"/>
    <w:rsid w:val="532366DF"/>
    <w:rsid w:val="53511372"/>
    <w:rsid w:val="537E08F2"/>
    <w:rsid w:val="539764F4"/>
    <w:rsid w:val="53A031CC"/>
    <w:rsid w:val="53AE40CE"/>
    <w:rsid w:val="5418076C"/>
    <w:rsid w:val="544D38E7"/>
    <w:rsid w:val="548E3F00"/>
    <w:rsid w:val="54F26BBE"/>
    <w:rsid w:val="550875B9"/>
    <w:rsid w:val="551B39E5"/>
    <w:rsid w:val="552D3719"/>
    <w:rsid w:val="557A2957"/>
    <w:rsid w:val="557A4CA3"/>
    <w:rsid w:val="55A57753"/>
    <w:rsid w:val="55C71477"/>
    <w:rsid w:val="561B17C3"/>
    <w:rsid w:val="563F0FE1"/>
    <w:rsid w:val="565D1DDC"/>
    <w:rsid w:val="56B04601"/>
    <w:rsid w:val="56C836F9"/>
    <w:rsid w:val="56F6302C"/>
    <w:rsid w:val="56F95FA8"/>
    <w:rsid w:val="574B7E86"/>
    <w:rsid w:val="58E6430A"/>
    <w:rsid w:val="58F05189"/>
    <w:rsid w:val="592129AE"/>
    <w:rsid w:val="59DE1485"/>
    <w:rsid w:val="59EA1BD8"/>
    <w:rsid w:val="59F12F67"/>
    <w:rsid w:val="5A6F6D99"/>
    <w:rsid w:val="5AC72C37"/>
    <w:rsid w:val="5B19492B"/>
    <w:rsid w:val="5B435A44"/>
    <w:rsid w:val="5B4C3F06"/>
    <w:rsid w:val="5C3929A3"/>
    <w:rsid w:val="5C5617A7"/>
    <w:rsid w:val="5C657C3C"/>
    <w:rsid w:val="5C693288"/>
    <w:rsid w:val="5C9439C0"/>
    <w:rsid w:val="5CF1327E"/>
    <w:rsid w:val="5D07562D"/>
    <w:rsid w:val="5D0E3E30"/>
    <w:rsid w:val="5D9F2CDA"/>
    <w:rsid w:val="5DA622BA"/>
    <w:rsid w:val="5DBE5856"/>
    <w:rsid w:val="5DC10EA2"/>
    <w:rsid w:val="5E3D49CC"/>
    <w:rsid w:val="5E54173C"/>
    <w:rsid w:val="5E9345EC"/>
    <w:rsid w:val="5F223BC2"/>
    <w:rsid w:val="5F426012"/>
    <w:rsid w:val="5F84533B"/>
    <w:rsid w:val="5FB962D5"/>
    <w:rsid w:val="606542BD"/>
    <w:rsid w:val="60870181"/>
    <w:rsid w:val="6089214B"/>
    <w:rsid w:val="60D4713E"/>
    <w:rsid w:val="60D809DC"/>
    <w:rsid w:val="6149265B"/>
    <w:rsid w:val="628250A4"/>
    <w:rsid w:val="62AF6EE2"/>
    <w:rsid w:val="62C96422"/>
    <w:rsid w:val="62D74A55"/>
    <w:rsid w:val="636263E4"/>
    <w:rsid w:val="637251F2"/>
    <w:rsid w:val="6375774F"/>
    <w:rsid w:val="639D5F0D"/>
    <w:rsid w:val="63B82D47"/>
    <w:rsid w:val="63D538F9"/>
    <w:rsid w:val="646F3406"/>
    <w:rsid w:val="647B7FFD"/>
    <w:rsid w:val="649A0639"/>
    <w:rsid w:val="65444892"/>
    <w:rsid w:val="657038D9"/>
    <w:rsid w:val="65895087"/>
    <w:rsid w:val="6605645B"/>
    <w:rsid w:val="661A639D"/>
    <w:rsid w:val="661E50E3"/>
    <w:rsid w:val="668138C4"/>
    <w:rsid w:val="66862C89"/>
    <w:rsid w:val="66AF0431"/>
    <w:rsid w:val="66B477F6"/>
    <w:rsid w:val="66B617C0"/>
    <w:rsid w:val="66C11F13"/>
    <w:rsid w:val="66D659BE"/>
    <w:rsid w:val="67195A92"/>
    <w:rsid w:val="672E43C0"/>
    <w:rsid w:val="674A1F08"/>
    <w:rsid w:val="67BA52E0"/>
    <w:rsid w:val="67E76E83"/>
    <w:rsid w:val="684F3C7A"/>
    <w:rsid w:val="68541290"/>
    <w:rsid w:val="68815DFE"/>
    <w:rsid w:val="688651C2"/>
    <w:rsid w:val="68F428CC"/>
    <w:rsid w:val="69064C26"/>
    <w:rsid w:val="69A47FF6"/>
    <w:rsid w:val="69CA7330"/>
    <w:rsid w:val="69E2467A"/>
    <w:rsid w:val="69E77EE2"/>
    <w:rsid w:val="6A436A18"/>
    <w:rsid w:val="6A7259FE"/>
    <w:rsid w:val="6A753740"/>
    <w:rsid w:val="6AE91B38"/>
    <w:rsid w:val="6B150BE5"/>
    <w:rsid w:val="6B234F4A"/>
    <w:rsid w:val="6B513865"/>
    <w:rsid w:val="6B7B4D86"/>
    <w:rsid w:val="6B946502"/>
    <w:rsid w:val="6C0503D3"/>
    <w:rsid w:val="6C2B2308"/>
    <w:rsid w:val="6C375151"/>
    <w:rsid w:val="6C8934D3"/>
    <w:rsid w:val="6CAE6A95"/>
    <w:rsid w:val="6CB467A2"/>
    <w:rsid w:val="6CC12C6C"/>
    <w:rsid w:val="6CF46B9E"/>
    <w:rsid w:val="6D4A0EB4"/>
    <w:rsid w:val="6DD62748"/>
    <w:rsid w:val="6DD63018"/>
    <w:rsid w:val="6E46167B"/>
    <w:rsid w:val="6E702020"/>
    <w:rsid w:val="6E763F48"/>
    <w:rsid w:val="6EA2262A"/>
    <w:rsid w:val="6EA23B4F"/>
    <w:rsid w:val="6EA25E50"/>
    <w:rsid w:val="6EA6211A"/>
    <w:rsid w:val="6EA63EC8"/>
    <w:rsid w:val="6EED1AF7"/>
    <w:rsid w:val="6F1352D6"/>
    <w:rsid w:val="6F9D176F"/>
    <w:rsid w:val="6FB2689C"/>
    <w:rsid w:val="6FFF1452"/>
    <w:rsid w:val="703D6A50"/>
    <w:rsid w:val="7047792D"/>
    <w:rsid w:val="70860455"/>
    <w:rsid w:val="7095216F"/>
    <w:rsid w:val="709553C3"/>
    <w:rsid w:val="70981F36"/>
    <w:rsid w:val="70CB230C"/>
    <w:rsid w:val="711C6959"/>
    <w:rsid w:val="71A072F4"/>
    <w:rsid w:val="71E511AB"/>
    <w:rsid w:val="72C9287B"/>
    <w:rsid w:val="73120A7C"/>
    <w:rsid w:val="73726A6F"/>
    <w:rsid w:val="73AF381F"/>
    <w:rsid w:val="73D56FFD"/>
    <w:rsid w:val="74640AAD"/>
    <w:rsid w:val="74BF52F7"/>
    <w:rsid w:val="74C90910"/>
    <w:rsid w:val="74FF2CD7"/>
    <w:rsid w:val="75243D99"/>
    <w:rsid w:val="752970A1"/>
    <w:rsid w:val="755521A4"/>
    <w:rsid w:val="755F3023"/>
    <w:rsid w:val="7577036C"/>
    <w:rsid w:val="75BC62B9"/>
    <w:rsid w:val="75E0188B"/>
    <w:rsid w:val="75ED6880"/>
    <w:rsid w:val="762A3062"/>
    <w:rsid w:val="76371E5E"/>
    <w:rsid w:val="763A0087"/>
    <w:rsid w:val="76D87530"/>
    <w:rsid w:val="771747F3"/>
    <w:rsid w:val="775C1F10"/>
    <w:rsid w:val="7798554B"/>
    <w:rsid w:val="78247E65"/>
    <w:rsid w:val="783B47F8"/>
    <w:rsid w:val="7840538D"/>
    <w:rsid w:val="78701BA4"/>
    <w:rsid w:val="78767001"/>
    <w:rsid w:val="78866997"/>
    <w:rsid w:val="78B673FD"/>
    <w:rsid w:val="78DD498A"/>
    <w:rsid w:val="79102D89"/>
    <w:rsid w:val="79E24222"/>
    <w:rsid w:val="7A146AD1"/>
    <w:rsid w:val="7A24483B"/>
    <w:rsid w:val="7B0C59FB"/>
    <w:rsid w:val="7B413C30"/>
    <w:rsid w:val="7BA3748A"/>
    <w:rsid w:val="7BE40725"/>
    <w:rsid w:val="7C0E03C2"/>
    <w:rsid w:val="7C136915"/>
    <w:rsid w:val="7C635AEE"/>
    <w:rsid w:val="7C7C095E"/>
    <w:rsid w:val="7D30556A"/>
    <w:rsid w:val="7D5176F5"/>
    <w:rsid w:val="7D997C30"/>
    <w:rsid w:val="7DA54D04"/>
    <w:rsid w:val="7DF3391E"/>
    <w:rsid w:val="7DFF35F5"/>
    <w:rsid w:val="7E486D4A"/>
    <w:rsid w:val="7EAE4002"/>
    <w:rsid w:val="7F531330"/>
    <w:rsid w:val="7FDE274C"/>
    <w:rsid w:val="F5D7D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keepLines/>
      <w:spacing w:before="340" w:beforeLines="0" w:after="330" w:afterLines="0" w:line="576" w:lineRule="auto"/>
      <w:jc w:val="center"/>
      <w:outlineLvl w:val="0"/>
    </w:pPr>
    <w:rPr>
      <w:rFonts w:ascii="黑体" w:eastAsia="黑体"/>
      <w:b/>
      <w:bCs/>
      <w:kern w:val="44"/>
      <w:sz w:val="2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rPr>
      <w:rFonts w:ascii="Times New Roman" w:hAnsi="Times New Roman" w:eastAsia="宋体" w:cs="Times New Roman"/>
    </w:rPr>
  </w:style>
  <w:style w:type="paragraph" w:styleId="6">
    <w:name w:val="table of authorities"/>
    <w:basedOn w:val="1"/>
    <w:next w:val="1"/>
    <w:qFormat/>
    <w:uiPriority w:val="99"/>
    <w:pPr>
      <w:ind w:left="420" w:leftChars="200"/>
    </w:pPr>
  </w:style>
  <w:style w:type="paragraph" w:styleId="7">
    <w:name w:val="Normal Indent"/>
    <w:basedOn w:val="1"/>
    <w:qFormat/>
    <w:uiPriority w:val="0"/>
    <w:pPr>
      <w:ind w:firstLine="420" w:firstLineChars="200"/>
    </w:pPr>
  </w:style>
  <w:style w:type="paragraph" w:styleId="8">
    <w:name w:val="Body Text Indent"/>
    <w:basedOn w:val="1"/>
    <w:next w:val="1"/>
    <w:qFormat/>
    <w:uiPriority w:val="0"/>
    <w:pPr>
      <w:spacing w:line="500" w:lineRule="exact"/>
      <w:ind w:left="832" w:leftChars="832" w:firstLine="196" w:firstLineChars="196"/>
    </w:pPr>
    <w:rPr>
      <w:rFonts w:ascii="Times New Roman" w:hAnsi="Times New Roman" w:eastAsia="宋体" w:cs="Times New Roman"/>
      <w:sz w:val="24"/>
    </w:rPr>
  </w:style>
  <w:style w:type="paragraph" w:styleId="9">
    <w:name w:val="Plain Text"/>
    <w:basedOn w:val="1"/>
    <w:next w:val="1"/>
    <w:qFormat/>
    <w:uiPriority w:val="0"/>
    <w:rPr>
      <w:rFonts w:hint="eastAsia" w:ascii="宋体" w:hAnsi="Courier New"/>
      <w:szCs w:val="21"/>
    </w:rPr>
  </w:style>
  <w:style w:type="paragraph" w:styleId="10">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2">
    <w:name w:val="Body Text First Indent 2"/>
    <w:basedOn w:val="8"/>
    <w:next w:val="1"/>
    <w:unhideWhenUsed/>
    <w:qFormat/>
    <w:uiPriority w:val="0"/>
    <w:pPr>
      <w:ind w:firstLine="420"/>
    </w:pPr>
  </w:style>
  <w:style w:type="character" w:styleId="15">
    <w:name w:val="Strong"/>
    <w:basedOn w:val="14"/>
    <w:qFormat/>
    <w:uiPriority w:val="0"/>
    <w:rPr>
      <w:b/>
    </w:rPr>
  </w:style>
  <w:style w:type="character" w:customStyle="1" w:styleId="16">
    <w:name w:val="font51"/>
    <w:basedOn w:val="14"/>
    <w:qFormat/>
    <w:uiPriority w:val="0"/>
    <w:rPr>
      <w:rFonts w:hint="eastAsia" w:ascii="宋体" w:hAnsi="宋体" w:eastAsia="宋体" w:cs="宋体"/>
      <w:b/>
      <w:bCs/>
      <w:color w:val="000000"/>
      <w:sz w:val="32"/>
      <w:szCs w:val="32"/>
      <w:u w:val="single"/>
    </w:rPr>
  </w:style>
  <w:style w:type="character" w:customStyle="1" w:styleId="17">
    <w:name w:val="font31"/>
    <w:basedOn w:val="14"/>
    <w:qFormat/>
    <w:uiPriority w:val="0"/>
    <w:rPr>
      <w:rFonts w:hint="eastAsia" w:ascii="宋体" w:hAnsi="宋体" w:eastAsia="宋体" w:cs="宋体"/>
      <w:b/>
      <w:bCs/>
      <w:color w:val="000000"/>
      <w:sz w:val="32"/>
      <w:szCs w:val="32"/>
      <w:u w:val="none"/>
    </w:rPr>
  </w:style>
  <w:style w:type="paragraph" w:customStyle="1" w:styleId="18">
    <w:name w:val="首行缩进"/>
    <w:basedOn w:val="1"/>
    <w:autoRedefine/>
    <w:qFormat/>
    <w:uiPriority w:val="0"/>
    <w:pPr>
      <w:spacing w:line="360" w:lineRule="auto"/>
      <w:ind w:firstLine="480" w:firstLineChars="200"/>
    </w:pPr>
    <w:rPr>
      <w:rFonts w:ascii="宋体" w:hAnsi="宋体" w:cs="宋体"/>
      <w:kern w:val="0"/>
      <w:sz w:val="24"/>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3093</Words>
  <Characters>3428</Characters>
  <Lines>0</Lines>
  <Paragraphs>0</Paragraphs>
  <TotalTime>9</TotalTime>
  <ScaleCrop>false</ScaleCrop>
  <LinksUpToDate>false</LinksUpToDate>
  <CharactersWithSpaces>3579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2024-07-17T10:42:00Z</dcterms:created>
  <dc:creator>82161</dc:creator>
  <cp:lastModifiedBy>燕子</cp:lastModifiedBy>
  <cp:lastPrinted>2025-02-25T06:09:00Z</cp:lastPrinted>
  <dcterms:modified xsi:type="dcterms:W3CDTF">2025-07-25T01:30:07Z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778DED1ACF57464EB52A24571D299EEF_13</vt:lpwstr>
  </property>
  <property fmtid="{D5CDD505-2E9C-101B-9397-08002B2CF9AE}" pid="4" name="KSOTemplateDocerSaveRecord">
    <vt:lpwstr>eyJoZGlkIjoiYzYwMmE4NTIyNjUwN2ZlMWQ2NWUwM2M0OGZlZWIyYjMiLCJ1c2VySWQiOiI5NTQ5NzM4MzMifQ==</vt:lpwstr>
  </property>
</Properties>
</file>